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5DE66" w14:textId="151373DB" w:rsidR="00616597" w:rsidRPr="00616597" w:rsidRDefault="00CC6985" w:rsidP="005D20E2">
      <w:pPr>
        <w:jc w:val="center"/>
        <w:rPr>
          <w:b/>
          <w:sz w:val="28"/>
          <w:szCs w:val="28"/>
          <w:lang w:val="fr-FR"/>
        </w:rPr>
      </w:pPr>
      <w:r w:rsidRPr="00616597">
        <w:rPr>
          <w:b/>
          <w:sz w:val="28"/>
          <w:szCs w:val="28"/>
          <w:lang w:val="fr-FR"/>
        </w:rPr>
        <w:t>Descriptif technique :</w:t>
      </w:r>
    </w:p>
    <w:p w14:paraId="1570C1D8" w14:textId="3127341F" w:rsidR="005D20E2" w:rsidRPr="00616597" w:rsidRDefault="00CC6985" w:rsidP="005D20E2">
      <w:pPr>
        <w:jc w:val="center"/>
        <w:rPr>
          <w:b/>
          <w:sz w:val="28"/>
          <w:szCs w:val="28"/>
          <w:lang w:val="fr-FR"/>
        </w:rPr>
      </w:pPr>
      <w:r w:rsidRPr="00616597">
        <w:rPr>
          <w:b/>
          <w:sz w:val="28"/>
          <w:szCs w:val="28"/>
          <w:lang w:val="fr-FR"/>
        </w:rPr>
        <w:t xml:space="preserve"> Armoires</w:t>
      </w:r>
      <w:r w:rsidR="00A325D3" w:rsidRPr="00616597">
        <w:rPr>
          <w:b/>
          <w:sz w:val="28"/>
          <w:szCs w:val="28"/>
          <w:lang w:val="fr-FR"/>
        </w:rPr>
        <w:t xml:space="preserve"> de chargement -</w:t>
      </w:r>
      <w:r w:rsidRPr="00616597">
        <w:rPr>
          <w:b/>
          <w:sz w:val="28"/>
          <w:szCs w:val="28"/>
          <w:lang w:val="fr-FR"/>
        </w:rPr>
        <w:t xml:space="preserve"> vestiaires Type </w:t>
      </w:r>
      <w:proofErr w:type="spellStart"/>
      <w:r w:rsidRPr="00616597">
        <w:rPr>
          <w:b/>
          <w:sz w:val="28"/>
          <w:szCs w:val="28"/>
          <w:lang w:val="fr-FR"/>
        </w:rPr>
        <w:t>K</w:t>
      </w:r>
      <w:r w:rsidR="00487277" w:rsidRPr="00616597">
        <w:rPr>
          <w:b/>
          <w:sz w:val="28"/>
          <w:szCs w:val="28"/>
          <w:lang w:val="fr-FR"/>
        </w:rPr>
        <w:t>.smartline</w:t>
      </w:r>
      <w:proofErr w:type="spellEnd"/>
      <w:r w:rsidR="00A325D3" w:rsidRPr="00616597">
        <w:rPr>
          <w:b/>
          <w:sz w:val="28"/>
          <w:szCs w:val="28"/>
          <w:lang w:val="fr-FR"/>
        </w:rPr>
        <w:t>-</w:t>
      </w:r>
      <w:r w:rsidR="001C1826" w:rsidRPr="00616597">
        <w:rPr>
          <w:b/>
          <w:sz w:val="28"/>
          <w:szCs w:val="28"/>
          <w:lang w:val="fr-FR"/>
        </w:rPr>
        <w:t>combi</w:t>
      </w:r>
    </w:p>
    <w:p w14:paraId="1DA11180" w14:textId="77777777" w:rsidR="006F478D" w:rsidRPr="00487277" w:rsidRDefault="006F478D" w:rsidP="005D20E2">
      <w:pPr>
        <w:jc w:val="center"/>
        <w:rPr>
          <w:b/>
          <w:lang w:val="fr-FR"/>
        </w:rPr>
      </w:pPr>
    </w:p>
    <w:p w14:paraId="1B022A23" w14:textId="5E7D7211" w:rsidR="005D20E2" w:rsidRPr="007D1B17" w:rsidRDefault="004B2B0D" w:rsidP="005D20E2">
      <w:pPr>
        <w:rPr>
          <w:sz w:val="22"/>
          <w:szCs w:val="22"/>
          <w:lang w:val="fr-FR"/>
        </w:rPr>
      </w:pPr>
      <w:r>
        <w:rPr>
          <w:sz w:val="22"/>
          <w:szCs w:val="22"/>
          <w:lang w:val="fr-FR"/>
        </w:rPr>
        <w:t>L’</w:t>
      </w:r>
      <w:proofErr w:type="spellStart"/>
      <w:r>
        <w:rPr>
          <w:sz w:val="22"/>
          <w:szCs w:val="22"/>
          <w:lang w:val="fr-FR"/>
        </w:rPr>
        <w:t>A</w:t>
      </w:r>
      <w:r w:rsidR="00CE7B40">
        <w:rPr>
          <w:sz w:val="22"/>
          <w:szCs w:val="22"/>
          <w:lang w:val="fr-FR"/>
        </w:rPr>
        <w:t>fkor</w:t>
      </w:r>
      <w:proofErr w:type="spellEnd"/>
      <w:r>
        <w:rPr>
          <w:sz w:val="22"/>
          <w:szCs w:val="22"/>
          <w:lang w:val="fr-FR"/>
        </w:rPr>
        <w:t xml:space="preserve"> type </w:t>
      </w:r>
      <w:proofErr w:type="spellStart"/>
      <w:r>
        <w:rPr>
          <w:sz w:val="22"/>
          <w:szCs w:val="22"/>
          <w:lang w:val="fr-FR"/>
        </w:rPr>
        <w:t>K.smartline</w:t>
      </w:r>
      <w:proofErr w:type="spellEnd"/>
      <w:r>
        <w:rPr>
          <w:sz w:val="22"/>
          <w:szCs w:val="22"/>
          <w:lang w:val="fr-FR"/>
        </w:rPr>
        <w:t xml:space="preserve">-combi est un agencement unique d’armoires combinant à la fois des armoires vestiaires type </w:t>
      </w:r>
      <w:proofErr w:type="spellStart"/>
      <w:r>
        <w:rPr>
          <w:sz w:val="22"/>
          <w:szCs w:val="22"/>
          <w:lang w:val="fr-FR"/>
        </w:rPr>
        <w:t>K.smartline</w:t>
      </w:r>
      <w:proofErr w:type="spellEnd"/>
      <w:r>
        <w:rPr>
          <w:sz w:val="22"/>
          <w:szCs w:val="22"/>
          <w:lang w:val="fr-FR"/>
        </w:rPr>
        <w:t xml:space="preserve"> et des armoires de chargement type </w:t>
      </w:r>
      <w:proofErr w:type="spellStart"/>
      <w:r>
        <w:rPr>
          <w:sz w:val="22"/>
          <w:szCs w:val="22"/>
          <w:lang w:val="fr-FR"/>
        </w:rPr>
        <w:t>K.smartline</w:t>
      </w:r>
      <w:proofErr w:type="spellEnd"/>
      <w:r>
        <w:rPr>
          <w:sz w:val="22"/>
          <w:szCs w:val="22"/>
          <w:lang w:val="fr-FR"/>
        </w:rPr>
        <w:t xml:space="preserve">-e. L’armoire de chargement et vestiaire est spécifiquement conçue pour le chargement en toute sécurité des batteries de vélo électrique, trottinettes, </w:t>
      </w:r>
      <w:proofErr w:type="spellStart"/>
      <w:r>
        <w:rPr>
          <w:sz w:val="22"/>
          <w:szCs w:val="22"/>
          <w:lang w:val="fr-FR"/>
        </w:rPr>
        <w:t>frigoboxes</w:t>
      </w:r>
      <w:proofErr w:type="spellEnd"/>
      <w:r>
        <w:rPr>
          <w:sz w:val="22"/>
          <w:szCs w:val="22"/>
          <w:lang w:val="fr-FR"/>
        </w:rPr>
        <w:t>,… et le rangement de vêtements de cyclisme, casques vélo, sacoches de vélo,…</w:t>
      </w:r>
    </w:p>
    <w:p w14:paraId="265A7D5C" w14:textId="77777777" w:rsidR="005D20E2" w:rsidRPr="007D1B17" w:rsidRDefault="005D20E2" w:rsidP="00CC6985">
      <w:pPr>
        <w:jc w:val="center"/>
        <w:rPr>
          <w:b/>
          <w:sz w:val="22"/>
          <w:szCs w:val="22"/>
          <w:lang w:val="fr-FR"/>
        </w:rPr>
      </w:pPr>
    </w:p>
    <w:p w14:paraId="3C0F131E" w14:textId="48CB4A42" w:rsidR="00CC6985" w:rsidRPr="007D1B17" w:rsidRDefault="00FD7B37" w:rsidP="00CC6985">
      <w:pPr>
        <w:jc w:val="both"/>
        <w:rPr>
          <w:b/>
          <w:sz w:val="22"/>
          <w:szCs w:val="22"/>
          <w:lang w:val="fr-FR"/>
        </w:rPr>
      </w:pPr>
      <w:r w:rsidRPr="007D1B17">
        <w:rPr>
          <w:b/>
          <w:sz w:val="22"/>
          <w:szCs w:val="22"/>
          <w:lang w:val="fr-FR"/>
        </w:rPr>
        <w:t>Ex</w:t>
      </w:r>
      <w:r w:rsidR="00222A36" w:rsidRPr="007D1B17">
        <w:rPr>
          <w:b/>
          <w:sz w:val="22"/>
          <w:szCs w:val="22"/>
          <w:lang w:val="fr-FR"/>
        </w:rPr>
        <w:t>écution</w:t>
      </w:r>
      <w:r w:rsidR="00CC6985" w:rsidRPr="007D1B17">
        <w:rPr>
          <w:b/>
          <w:sz w:val="22"/>
          <w:szCs w:val="22"/>
          <w:lang w:val="fr-FR"/>
        </w:rPr>
        <w:t xml:space="preserve"> :</w:t>
      </w:r>
    </w:p>
    <w:p w14:paraId="39ECB2A0" w14:textId="155A92DF" w:rsidR="00DF2A20" w:rsidRDefault="00DF2A20" w:rsidP="00CC6985">
      <w:pPr>
        <w:jc w:val="both"/>
        <w:rPr>
          <w:b/>
          <w:sz w:val="22"/>
          <w:szCs w:val="22"/>
          <w:lang w:val="fr-FR"/>
        </w:rPr>
      </w:pPr>
    </w:p>
    <w:p w14:paraId="4EC13C6B" w14:textId="725997D2" w:rsidR="00324165" w:rsidRPr="00324165" w:rsidRDefault="00324165" w:rsidP="00CC6985">
      <w:pPr>
        <w:jc w:val="both"/>
        <w:rPr>
          <w:bCs/>
          <w:sz w:val="22"/>
          <w:szCs w:val="22"/>
          <w:u w:val="single"/>
          <w:lang w:val="fr-FR"/>
        </w:rPr>
      </w:pPr>
      <w:r w:rsidRPr="00324165">
        <w:rPr>
          <w:bCs/>
          <w:sz w:val="22"/>
          <w:szCs w:val="22"/>
          <w:u w:val="single"/>
          <w:lang w:val="fr-FR"/>
        </w:rPr>
        <w:t>Armoires vestiaires :</w:t>
      </w:r>
    </w:p>
    <w:p w14:paraId="72224DCB" w14:textId="77777777" w:rsidR="00324165" w:rsidRDefault="00324165" w:rsidP="00CC6985">
      <w:pPr>
        <w:jc w:val="both"/>
        <w:rPr>
          <w:b/>
          <w:sz w:val="22"/>
          <w:szCs w:val="22"/>
          <w:lang w:val="fr-FR"/>
        </w:rPr>
      </w:pPr>
    </w:p>
    <w:p w14:paraId="545E24A9" w14:textId="77777777" w:rsidR="00324165" w:rsidRDefault="00324165" w:rsidP="00324165">
      <w:pPr>
        <w:jc w:val="both"/>
        <w:rPr>
          <w:sz w:val="22"/>
          <w:szCs w:val="22"/>
          <w:lang w:val="fr-FR"/>
        </w:rPr>
      </w:pPr>
      <w:r>
        <w:rPr>
          <w:sz w:val="22"/>
          <w:szCs w:val="22"/>
          <w:lang w:val="fr-FR"/>
        </w:rPr>
        <w:t xml:space="preserve">Stratifié massif épaisseur horizontaux, fond et toit en 8 mm, éléments verticaux en 4 mm, portes et tablettes en 13 </w:t>
      </w:r>
      <w:proofErr w:type="spellStart"/>
      <w:r>
        <w:rPr>
          <w:sz w:val="22"/>
          <w:szCs w:val="22"/>
          <w:lang w:val="fr-FR"/>
        </w:rPr>
        <w:t>mm.</w:t>
      </w:r>
      <w:proofErr w:type="spellEnd"/>
    </w:p>
    <w:p w14:paraId="3AB142F6" w14:textId="77777777" w:rsidR="00324165" w:rsidRDefault="00324165" w:rsidP="00324165">
      <w:pPr>
        <w:jc w:val="both"/>
        <w:rPr>
          <w:sz w:val="22"/>
          <w:szCs w:val="22"/>
          <w:lang w:val="fr-FR"/>
        </w:rPr>
      </w:pPr>
      <w:r>
        <w:rPr>
          <w:sz w:val="22"/>
          <w:szCs w:val="22"/>
          <w:lang w:val="fr-FR"/>
        </w:rPr>
        <w:t>Toutes les arêtes sur les chants visibles des portes sont chanfreinées et les angles arrondis.</w:t>
      </w:r>
    </w:p>
    <w:p w14:paraId="02962034" w14:textId="4E40F5CA" w:rsidR="00324165" w:rsidRDefault="00324165" w:rsidP="00CC6985">
      <w:pPr>
        <w:jc w:val="both"/>
        <w:rPr>
          <w:b/>
          <w:sz w:val="22"/>
          <w:szCs w:val="22"/>
          <w:lang w:val="fr-FR"/>
        </w:rPr>
      </w:pPr>
    </w:p>
    <w:p w14:paraId="2D223773" w14:textId="22424452" w:rsidR="00324165" w:rsidRPr="00324165" w:rsidRDefault="00324165" w:rsidP="00CC6985">
      <w:pPr>
        <w:jc w:val="both"/>
        <w:rPr>
          <w:bCs/>
          <w:sz w:val="22"/>
          <w:szCs w:val="22"/>
          <w:u w:val="single"/>
          <w:lang w:val="fr-FR"/>
        </w:rPr>
      </w:pPr>
      <w:r w:rsidRPr="00324165">
        <w:rPr>
          <w:bCs/>
          <w:sz w:val="22"/>
          <w:szCs w:val="22"/>
          <w:u w:val="single"/>
          <w:lang w:val="fr-FR"/>
        </w:rPr>
        <w:t>Armoires de chargement :</w:t>
      </w:r>
    </w:p>
    <w:p w14:paraId="6343CF4F" w14:textId="77777777" w:rsidR="00324165" w:rsidRPr="007D1B17" w:rsidRDefault="00324165" w:rsidP="00CC6985">
      <w:pPr>
        <w:jc w:val="both"/>
        <w:rPr>
          <w:b/>
          <w:sz w:val="22"/>
          <w:szCs w:val="22"/>
          <w:lang w:val="fr-FR"/>
        </w:rPr>
      </w:pPr>
    </w:p>
    <w:p w14:paraId="57CCC0C5" w14:textId="77777777" w:rsidR="00DF2A20" w:rsidRPr="007D1B17" w:rsidRDefault="00DF2A20" w:rsidP="00DF2A20">
      <w:pPr>
        <w:jc w:val="both"/>
        <w:rPr>
          <w:sz w:val="22"/>
          <w:szCs w:val="22"/>
          <w:lang w:val="fr-FR"/>
        </w:rPr>
      </w:pPr>
      <w:r w:rsidRPr="00EB4E8D">
        <w:rPr>
          <w:sz w:val="22"/>
          <w:szCs w:val="22"/>
          <w:lang w:val="fr-BE"/>
        </w:rPr>
        <w:t xml:space="preserve">Panneaux stratifiés massif qualité F – </w:t>
      </w:r>
      <w:proofErr w:type="spellStart"/>
      <w:r w:rsidRPr="00EB4E8D">
        <w:rPr>
          <w:sz w:val="22"/>
          <w:szCs w:val="22"/>
          <w:lang w:val="fr-BE"/>
        </w:rPr>
        <w:t>Euroclasse</w:t>
      </w:r>
      <w:proofErr w:type="spellEnd"/>
      <w:r w:rsidRPr="00EB4E8D">
        <w:rPr>
          <w:sz w:val="22"/>
          <w:szCs w:val="22"/>
          <w:lang w:val="fr-BE"/>
        </w:rPr>
        <w:t xml:space="preserve"> Bs2d0 ‘ difficilement inflammable’</w:t>
      </w:r>
      <w:r w:rsidRPr="00EB4E8D">
        <w:rPr>
          <w:sz w:val="22"/>
          <w:szCs w:val="22"/>
          <w:lang w:val="fr-BE"/>
        </w:rPr>
        <w:br/>
      </w:r>
      <w:r w:rsidRPr="007D1B17">
        <w:rPr>
          <w:sz w:val="22"/>
          <w:szCs w:val="22"/>
          <w:lang w:val="fr-FR"/>
        </w:rPr>
        <w:t xml:space="preserve">Stratifié massif épaisseur horizontaux, fond et toit en 8 mm, éléments verticaux en 4 mm, portes et tablettes en 13 </w:t>
      </w:r>
      <w:proofErr w:type="spellStart"/>
      <w:r w:rsidRPr="007D1B17">
        <w:rPr>
          <w:sz w:val="22"/>
          <w:szCs w:val="22"/>
          <w:lang w:val="fr-FR"/>
        </w:rPr>
        <w:t>mm.</w:t>
      </w:r>
      <w:proofErr w:type="spellEnd"/>
    </w:p>
    <w:p w14:paraId="10C16E1C" w14:textId="77777777" w:rsidR="00CC6985" w:rsidRPr="007D1B17" w:rsidRDefault="00CC6985" w:rsidP="00CC6985">
      <w:pPr>
        <w:jc w:val="both"/>
        <w:rPr>
          <w:sz w:val="22"/>
          <w:szCs w:val="22"/>
          <w:lang w:val="fr-FR"/>
        </w:rPr>
      </w:pPr>
      <w:r w:rsidRPr="007D1B17">
        <w:rPr>
          <w:sz w:val="22"/>
          <w:szCs w:val="22"/>
          <w:lang w:val="fr-FR"/>
        </w:rPr>
        <w:t>Toutes les arêtes sur les chants visibles des portes sont chanfreinées et les angles arrondis.</w:t>
      </w:r>
    </w:p>
    <w:p w14:paraId="224E35F6" w14:textId="77777777" w:rsidR="003119A2" w:rsidRPr="007D1B17" w:rsidRDefault="003119A2" w:rsidP="00CC6985">
      <w:pPr>
        <w:jc w:val="both"/>
        <w:rPr>
          <w:sz w:val="22"/>
          <w:szCs w:val="22"/>
          <w:lang w:val="fr-FR"/>
        </w:rPr>
      </w:pPr>
    </w:p>
    <w:p w14:paraId="2D78F416" w14:textId="027342B0" w:rsidR="003119A2" w:rsidRPr="007D1B17" w:rsidRDefault="003119A2" w:rsidP="00CC6985">
      <w:pPr>
        <w:jc w:val="both"/>
        <w:rPr>
          <w:b/>
          <w:sz w:val="22"/>
          <w:szCs w:val="22"/>
          <w:lang w:val="fr-FR"/>
        </w:rPr>
      </w:pPr>
      <w:r w:rsidRPr="007D1B17">
        <w:rPr>
          <w:b/>
          <w:sz w:val="22"/>
          <w:szCs w:val="22"/>
          <w:lang w:val="fr-FR"/>
        </w:rPr>
        <w:t>Profils :</w:t>
      </w:r>
    </w:p>
    <w:p w14:paraId="1AD21489" w14:textId="77777777" w:rsidR="00DC10C8" w:rsidRPr="007D1B17" w:rsidRDefault="00DC10C8" w:rsidP="00CC6985">
      <w:pPr>
        <w:jc w:val="both"/>
        <w:rPr>
          <w:b/>
          <w:sz w:val="22"/>
          <w:szCs w:val="22"/>
          <w:lang w:val="fr-FR"/>
        </w:rPr>
      </w:pPr>
    </w:p>
    <w:p w14:paraId="67A9E323" w14:textId="7E0E295A" w:rsidR="00CC6985" w:rsidRPr="007D1B17" w:rsidRDefault="002C188E" w:rsidP="00CC6985">
      <w:pPr>
        <w:jc w:val="both"/>
        <w:rPr>
          <w:sz w:val="22"/>
          <w:szCs w:val="22"/>
          <w:lang w:val="fr-FR"/>
        </w:rPr>
      </w:pPr>
      <w:r w:rsidRPr="007D1B17">
        <w:rPr>
          <w:sz w:val="22"/>
          <w:szCs w:val="22"/>
          <w:lang w:val="fr-FR"/>
        </w:rPr>
        <w:t>Solide m</w:t>
      </w:r>
      <w:r w:rsidR="00CC6985" w:rsidRPr="007D1B17">
        <w:rPr>
          <w:sz w:val="22"/>
          <w:szCs w:val="22"/>
          <w:lang w:val="fr-FR"/>
        </w:rPr>
        <w:t>ontant de porte en aluminium (42</w:t>
      </w:r>
      <w:r w:rsidR="003119A2" w:rsidRPr="007D1B17">
        <w:rPr>
          <w:sz w:val="22"/>
          <w:szCs w:val="22"/>
          <w:lang w:val="fr-FR"/>
        </w:rPr>
        <w:t xml:space="preserve"> mm</w:t>
      </w:r>
      <w:r w:rsidR="00CC6985" w:rsidRPr="007D1B17">
        <w:rPr>
          <w:sz w:val="22"/>
          <w:szCs w:val="22"/>
          <w:lang w:val="fr-FR"/>
        </w:rPr>
        <w:t xml:space="preserve"> x 2</w:t>
      </w:r>
      <w:r w:rsidR="003119A2" w:rsidRPr="007D1B17">
        <w:rPr>
          <w:sz w:val="22"/>
          <w:szCs w:val="22"/>
          <w:lang w:val="fr-FR"/>
        </w:rPr>
        <w:t>8mm)</w:t>
      </w:r>
      <w:r w:rsidR="00951203" w:rsidRPr="007D1B17">
        <w:rPr>
          <w:sz w:val="22"/>
          <w:szCs w:val="22"/>
          <w:lang w:val="fr-FR"/>
        </w:rPr>
        <w:t xml:space="preserve"> et un profil </w:t>
      </w:r>
      <w:r w:rsidR="005D20E2" w:rsidRPr="007D1B17">
        <w:rPr>
          <w:sz w:val="22"/>
          <w:szCs w:val="22"/>
          <w:lang w:val="fr-FR"/>
        </w:rPr>
        <w:t xml:space="preserve">au </w:t>
      </w:r>
      <w:r w:rsidR="00951203" w:rsidRPr="007D1B17">
        <w:rPr>
          <w:sz w:val="22"/>
          <w:szCs w:val="22"/>
          <w:lang w:val="fr-FR"/>
        </w:rPr>
        <w:t xml:space="preserve">dos en </w:t>
      </w:r>
      <w:r w:rsidR="005D20E2" w:rsidRPr="007D1B17">
        <w:rPr>
          <w:sz w:val="22"/>
          <w:szCs w:val="22"/>
          <w:lang w:val="fr-FR"/>
        </w:rPr>
        <w:t>aluminium.</w:t>
      </w:r>
    </w:p>
    <w:p w14:paraId="53B6ED46" w14:textId="7590D61F" w:rsidR="00CC6985" w:rsidRPr="007D1B17" w:rsidRDefault="00951203" w:rsidP="00CC6985">
      <w:pPr>
        <w:jc w:val="both"/>
        <w:rPr>
          <w:sz w:val="22"/>
          <w:szCs w:val="22"/>
          <w:lang w:val="fr-FR"/>
        </w:rPr>
      </w:pPr>
      <w:r w:rsidRPr="007D1B17">
        <w:rPr>
          <w:sz w:val="22"/>
          <w:szCs w:val="22"/>
          <w:lang w:val="fr-FR"/>
        </w:rPr>
        <w:t>Les éléments verticaux sont intégré</w:t>
      </w:r>
      <w:r w:rsidR="005D20E2" w:rsidRPr="007D1B17">
        <w:rPr>
          <w:sz w:val="22"/>
          <w:szCs w:val="22"/>
          <w:lang w:val="fr-FR"/>
        </w:rPr>
        <w:t>s</w:t>
      </w:r>
      <w:r w:rsidR="002C188E" w:rsidRPr="007D1B17">
        <w:rPr>
          <w:sz w:val="22"/>
          <w:szCs w:val="22"/>
          <w:lang w:val="fr-FR"/>
        </w:rPr>
        <w:t xml:space="preserve"> sur toute la hauteur </w:t>
      </w:r>
      <w:r w:rsidRPr="007D1B17">
        <w:rPr>
          <w:sz w:val="22"/>
          <w:szCs w:val="22"/>
          <w:lang w:val="fr-FR"/>
        </w:rPr>
        <w:t>dans un profil en aluminium.</w:t>
      </w:r>
    </w:p>
    <w:p w14:paraId="39F84F2E" w14:textId="77777777" w:rsidR="00634335" w:rsidRPr="007D1B17" w:rsidRDefault="00634335" w:rsidP="00CC6985">
      <w:pPr>
        <w:jc w:val="both"/>
        <w:rPr>
          <w:b/>
          <w:sz w:val="22"/>
          <w:szCs w:val="22"/>
          <w:lang w:val="fr-FR"/>
        </w:rPr>
      </w:pPr>
    </w:p>
    <w:p w14:paraId="4849249B" w14:textId="086A80E6" w:rsidR="00951203" w:rsidRPr="007D1B17" w:rsidRDefault="00951203" w:rsidP="00CC6985">
      <w:pPr>
        <w:jc w:val="both"/>
        <w:rPr>
          <w:b/>
          <w:sz w:val="22"/>
          <w:szCs w:val="22"/>
          <w:lang w:val="fr-FR"/>
        </w:rPr>
      </w:pPr>
      <w:r w:rsidRPr="007D1B17">
        <w:rPr>
          <w:b/>
          <w:sz w:val="22"/>
          <w:szCs w:val="22"/>
          <w:lang w:val="fr-FR"/>
        </w:rPr>
        <w:t>Quincaillerie :</w:t>
      </w:r>
    </w:p>
    <w:p w14:paraId="78DFB9B7" w14:textId="77777777" w:rsidR="00DC10C8" w:rsidRPr="007D1B17" w:rsidRDefault="00DC10C8" w:rsidP="00CC6985">
      <w:pPr>
        <w:jc w:val="both"/>
        <w:rPr>
          <w:b/>
          <w:sz w:val="22"/>
          <w:szCs w:val="22"/>
          <w:lang w:val="fr-FR"/>
        </w:rPr>
      </w:pPr>
    </w:p>
    <w:p w14:paraId="6BC50BF8" w14:textId="68E2F3D5" w:rsidR="00EE050A" w:rsidRPr="007D1B17" w:rsidRDefault="00951203" w:rsidP="00951203">
      <w:pPr>
        <w:jc w:val="both"/>
        <w:rPr>
          <w:sz w:val="22"/>
          <w:szCs w:val="22"/>
          <w:lang w:val="fr-FR"/>
        </w:rPr>
      </w:pPr>
      <w:r w:rsidRPr="007D1B17">
        <w:rPr>
          <w:sz w:val="22"/>
          <w:szCs w:val="22"/>
          <w:lang w:val="fr-FR"/>
        </w:rPr>
        <w:t>Charnières en acier inoxydable</w:t>
      </w:r>
      <w:r w:rsidR="00693A28" w:rsidRPr="007D1B17">
        <w:rPr>
          <w:sz w:val="22"/>
          <w:szCs w:val="22"/>
          <w:lang w:val="fr-FR"/>
        </w:rPr>
        <w:t xml:space="preserve"> de qualité AISI 316, a</w:t>
      </w:r>
      <w:r w:rsidR="00BA269A" w:rsidRPr="007D1B17">
        <w:rPr>
          <w:sz w:val="22"/>
          <w:szCs w:val="22"/>
          <w:lang w:val="fr-FR"/>
        </w:rPr>
        <w:t xml:space="preserve">vec possibilité d’une </w:t>
      </w:r>
      <w:r w:rsidRPr="007D1B17">
        <w:rPr>
          <w:sz w:val="22"/>
          <w:szCs w:val="22"/>
          <w:lang w:val="fr-FR"/>
        </w:rPr>
        <w:t>fermeture</w:t>
      </w:r>
      <w:r w:rsidR="00BA269A" w:rsidRPr="007D1B17">
        <w:rPr>
          <w:sz w:val="22"/>
          <w:szCs w:val="22"/>
          <w:lang w:val="fr-FR"/>
        </w:rPr>
        <w:t xml:space="preserve"> automatique </w:t>
      </w:r>
      <w:r w:rsidR="008B4CC0" w:rsidRPr="007D1B17">
        <w:rPr>
          <w:sz w:val="22"/>
          <w:szCs w:val="22"/>
          <w:lang w:val="fr-FR"/>
        </w:rPr>
        <w:t>des portes (d</w:t>
      </w:r>
      <w:r w:rsidR="00693A28" w:rsidRPr="007D1B17">
        <w:rPr>
          <w:sz w:val="22"/>
          <w:szCs w:val="22"/>
          <w:lang w:val="fr-FR"/>
        </w:rPr>
        <w:t>es charnières à ressort assurant une fermeture automatique des portes)</w:t>
      </w:r>
      <w:r w:rsidR="008B4CC0" w:rsidRPr="007D1B17">
        <w:rPr>
          <w:sz w:val="22"/>
          <w:szCs w:val="22"/>
          <w:lang w:val="fr-FR"/>
        </w:rPr>
        <w:t>.</w:t>
      </w:r>
      <w:r w:rsidR="00693A28" w:rsidRPr="007D1B17">
        <w:rPr>
          <w:sz w:val="22"/>
          <w:szCs w:val="22"/>
          <w:lang w:val="fr-FR"/>
        </w:rPr>
        <w:t xml:space="preserve">  </w:t>
      </w:r>
    </w:p>
    <w:p w14:paraId="3FC0753B" w14:textId="77777777" w:rsidR="008B4CC0" w:rsidRPr="007D1B17" w:rsidRDefault="008B4CC0" w:rsidP="008B4CC0">
      <w:pPr>
        <w:jc w:val="both"/>
        <w:rPr>
          <w:sz w:val="22"/>
          <w:szCs w:val="22"/>
          <w:lang w:val="fr-FR"/>
        </w:rPr>
      </w:pPr>
      <w:r w:rsidRPr="007D1B17">
        <w:rPr>
          <w:sz w:val="22"/>
          <w:szCs w:val="22"/>
          <w:lang w:val="fr-FR"/>
        </w:rPr>
        <w:t xml:space="preserve">Les charnières sont invisibles lorsque les portes sont fermées. </w:t>
      </w:r>
    </w:p>
    <w:p w14:paraId="09EC97D1" w14:textId="77777777" w:rsidR="00951203" w:rsidRPr="007D1B17" w:rsidRDefault="00951203" w:rsidP="00951203">
      <w:pPr>
        <w:jc w:val="both"/>
        <w:rPr>
          <w:sz w:val="22"/>
          <w:szCs w:val="22"/>
          <w:lang w:val="fr-FR"/>
        </w:rPr>
      </w:pPr>
    </w:p>
    <w:p w14:paraId="07F76BFF" w14:textId="5F8038AC" w:rsidR="00CC6985" w:rsidRPr="007D1B17" w:rsidRDefault="00CC6985" w:rsidP="00CC6985">
      <w:pPr>
        <w:jc w:val="both"/>
        <w:rPr>
          <w:b/>
          <w:sz w:val="22"/>
          <w:szCs w:val="22"/>
          <w:lang w:val="fr-FR"/>
        </w:rPr>
      </w:pPr>
      <w:r w:rsidRPr="007D1B17">
        <w:rPr>
          <w:b/>
          <w:sz w:val="22"/>
          <w:szCs w:val="22"/>
          <w:lang w:val="fr-FR"/>
        </w:rPr>
        <w:t>Dimensions :</w:t>
      </w:r>
    </w:p>
    <w:p w14:paraId="550B0583" w14:textId="3B74FB84" w:rsidR="00CF6639" w:rsidRDefault="00CF6639" w:rsidP="00CC6985">
      <w:pPr>
        <w:jc w:val="both"/>
        <w:rPr>
          <w:b/>
          <w:sz w:val="22"/>
          <w:szCs w:val="22"/>
          <w:lang w:val="fr-FR"/>
        </w:rPr>
      </w:pPr>
    </w:p>
    <w:p w14:paraId="11E1CD6C" w14:textId="04D924B1" w:rsidR="00324165" w:rsidRPr="00324165" w:rsidRDefault="00324165" w:rsidP="00CC6985">
      <w:pPr>
        <w:jc w:val="both"/>
        <w:rPr>
          <w:bCs/>
          <w:sz w:val="22"/>
          <w:szCs w:val="22"/>
          <w:u w:val="single"/>
          <w:lang w:val="fr-FR"/>
        </w:rPr>
      </w:pPr>
      <w:r w:rsidRPr="00324165">
        <w:rPr>
          <w:bCs/>
          <w:sz w:val="22"/>
          <w:szCs w:val="22"/>
          <w:u w:val="single"/>
          <w:lang w:val="fr-FR"/>
        </w:rPr>
        <w:t>Armoires vestiaires :</w:t>
      </w:r>
    </w:p>
    <w:p w14:paraId="19615D4A" w14:textId="77777777" w:rsidR="00324165" w:rsidRPr="007D1B17" w:rsidRDefault="00324165" w:rsidP="00CC6985">
      <w:pPr>
        <w:jc w:val="both"/>
        <w:rPr>
          <w:b/>
          <w:sz w:val="22"/>
          <w:szCs w:val="22"/>
          <w:lang w:val="fr-FR"/>
        </w:rPr>
      </w:pPr>
    </w:p>
    <w:p w14:paraId="39F6C238" w14:textId="229A7A93" w:rsidR="00CC6985" w:rsidRPr="007D1B17" w:rsidRDefault="00DC10C8" w:rsidP="00CF6639">
      <w:pPr>
        <w:pStyle w:val="Lijstalinea"/>
        <w:numPr>
          <w:ilvl w:val="0"/>
          <w:numId w:val="5"/>
        </w:numPr>
        <w:jc w:val="both"/>
        <w:rPr>
          <w:sz w:val="22"/>
          <w:szCs w:val="22"/>
          <w:lang w:val="fr-FR"/>
        </w:rPr>
      </w:pPr>
      <w:r w:rsidRPr="007D1B17">
        <w:rPr>
          <w:sz w:val="22"/>
          <w:szCs w:val="22"/>
          <w:lang w:val="fr-FR"/>
        </w:rPr>
        <w:t xml:space="preserve">Hauteur totale, socle et </w:t>
      </w:r>
      <w:r w:rsidR="008C1391" w:rsidRPr="007D1B17">
        <w:rPr>
          <w:sz w:val="22"/>
          <w:szCs w:val="22"/>
          <w:lang w:val="fr-FR"/>
        </w:rPr>
        <w:t>profil supérieur</w:t>
      </w:r>
      <w:r w:rsidRPr="007D1B17">
        <w:rPr>
          <w:sz w:val="22"/>
          <w:szCs w:val="22"/>
          <w:lang w:val="fr-FR"/>
        </w:rPr>
        <w:t xml:space="preserve"> inclus : 2080 mm</w:t>
      </w:r>
    </w:p>
    <w:p w14:paraId="50501D20" w14:textId="08B07F36" w:rsidR="00FD57AB" w:rsidRPr="007D1B17" w:rsidRDefault="00FD57AB" w:rsidP="00CF6639">
      <w:pPr>
        <w:pStyle w:val="Lijstalinea"/>
        <w:numPr>
          <w:ilvl w:val="0"/>
          <w:numId w:val="5"/>
        </w:numPr>
        <w:jc w:val="both"/>
        <w:rPr>
          <w:sz w:val="22"/>
          <w:szCs w:val="22"/>
          <w:lang w:val="fr-FR"/>
        </w:rPr>
      </w:pPr>
      <w:r w:rsidRPr="007D1B17">
        <w:rPr>
          <w:sz w:val="22"/>
          <w:szCs w:val="22"/>
          <w:lang w:val="fr-FR"/>
        </w:rPr>
        <w:t>Hauteur armoire : 1830 mm</w:t>
      </w:r>
    </w:p>
    <w:p w14:paraId="3ABAEA4B" w14:textId="5406C5FE" w:rsidR="00FD57AB" w:rsidRPr="007D1B17" w:rsidRDefault="00FD57AB" w:rsidP="00CF6639">
      <w:pPr>
        <w:pStyle w:val="Lijstalinea"/>
        <w:numPr>
          <w:ilvl w:val="0"/>
          <w:numId w:val="5"/>
        </w:numPr>
        <w:jc w:val="both"/>
        <w:rPr>
          <w:sz w:val="22"/>
          <w:szCs w:val="22"/>
          <w:lang w:val="fr-FR"/>
        </w:rPr>
      </w:pPr>
      <w:r w:rsidRPr="007D1B17">
        <w:rPr>
          <w:sz w:val="22"/>
          <w:szCs w:val="22"/>
          <w:lang w:val="fr-FR"/>
        </w:rPr>
        <w:t>Hauteur socle : 150 mm</w:t>
      </w:r>
      <w:r w:rsidR="008C1391" w:rsidRPr="007D1B17">
        <w:rPr>
          <w:sz w:val="22"/>
          <w:szCs w:val="22"/>
          <w:lang w:val="fr-FR"/>
        </w:rPr>
        <w:t xml:space="preserve"> ou 600 mm (type 350 </w:t>
      </w:r>
      <w:r w:rsidR="00616597">
        <w:rPr>
          <w:sz w:val="22"/>
          <w:szCs w:val="22"/>
          <w:lang w:val="fr-FR"/>
        </w:rPr>
        <w:t>vs</w:t>
      </w:r>
      <w:r w:rsidR="008C1391" w:rsidRPr="007D1B17">
        <w:rPr>
          <w:sz w:val="22"/>
          <w:szCs w:val="22"/>
          <w:lang w:val="fr-FR"/>
        </w:rPr>
        <w:t>)</w:t>
      </w:r>
    </w:p>
    <w:p w14:paraId="5F95E51D" w14:textId="7A13E06B" w:rsidR="00B1783A" w:rsidRPr="007D1B17" w:rsidRDefault="00CC6985" w:rsidP="00CF6639">
      <w:pPr>
        <w:pStyle w:val="Lijstalinea"/>
        <w:numPr>
          <w:ilvl w:val="0"/>
          <w:numId w:val="5"/>
        </w:numPr>
        <w:jc w:val="both"/>
        <w:rPr>
          <w:sz w:val="22"/>
          <w:szCs w:val="22"/>
          <w:lang w:val="fr-FR"/>
        </w:rPr>
      </w:pPr>
      <w:r w:rsidRPr="007D1B17">
        <w:rPr>
          <w:sz w:val="22"/>
          <w:szCs w:val="22"/>
          <w:lang w:val="fr-FR"/>
        </w:rPr>
        <w:t>Largeur :</w:t>
      </w:r>
      <w:r w:rsidR="00FD57AB" w:rsidRPr="007D1B17">
        <w:rPr>
          <w:sz w:val="22"/>
          <w:szCs w:val="22"/>
          <w:lang w:val="fr-FR"/>
        </w:rPr>
        <w:t xml:space="preserve"> </w:t>
      </w:r>
      <w:r w:rsidR="00951203" w:rsidRPr="007D1B17">
        <w:rPr>
          <w:sz w:val="22"/>
          <w:szCs w:val="22"/>
          <w:lang w:val="fr-FR"/>
        </w:rPr>
        <w:t>3</w:t>
      </w:r>
      <w:r w:rsidR="00616597">
        <w:rPr>
          <w:sz w:val="22"/>
          <w:szCs w:val="22"/>
          <w:lang w:val="fr-FR"/>
        </w:rPr>
        <w:t>0</w:t>
      </w:r>
      <w:r w:rsidR="007E5212" w:rsidRPr="007D1B17">
        <w:rPr>
          <w:sz w:val="22"/>
          <w:szCs w:val="22"/>
          <w:lang w:val="fr-FR"/>
        </w:rPr>
        <w:t>0</w:t>
      </w:r>
      <w:r w:rsidR="00FD57AB" w:rsidRPr="007D1B17">
        <w:rPr>
          <w:sz w:val="22"/>
          <w:szCs w:val="22"/>
          <w:lang w:val="fr-FR"/>
        </w:rPr>
        <w:t xml:space="preserve"> </w:t>
      </w:r>
      <w:r w:rsidR="00951203" w:rsidRPr="007D1B17">
        <w:rPr>
          <w:sz w:val="22"/>
          <w:szCs w:val="22"/>
          <w:lang w:val="fr-FR"/>
        </w:rPr>
        <w:t>mm</w:t>
      </w:r>
      <w:r w:rsidR="008C1391" w:rsidRPr="007D1B17">
        <w:rPr>
          <w:sz w:val="22"/>
          <w:szCs w:val="22"/>
          <w:lang w:val="fr-FR"/>
        </w:rPr>
        <w:t xml:space="preserve"> </w:t>
      </w:r>
      <w:r w:rsidR="00616597">
        <w:rPr>
          <w:sz w:val="22"/>
          <w:szCs w:val="22"/>
          <w:lang w:val="fr-FR"/>
        </w:rPr>
        <w:t xml:space="preserve">- 350 mm </w:t>
      </w:r>
      <w:r w:rsidR="008C1391" w:rsidRPr="007D1B17">
        <w:rPr>
          <w:sz w:val="22"/>
          <w:szCs w:val="22"/>
          <w:lang w:val="fr-FR"/>
        </w:rPr>
        <w:t xml:space="preserve">ou </w:t>
      </w:r>
      <w:r w:rsidR="00616597">
        <w:rPr>
          <w:sz w:val="22"/>
          <w:szCs w:val="22"/>
          <w:lang w:val="fr-FR"/>
        </w:rPr>
        <w:t>4</w:t>
      </w:r>
      <w:r w:rsidR="008C1391" w:rsidRPr="007D1B17">
        <w:rPr>
          <w:sz w:val="22"/>
          <w:szCs w:val="22"/>
          <w:lang w:val="fr-FR"/>
        </w:rPr>
        <w:t>00</w:t>
      </w:r>
      <w:r w:rsidR="00FD57AB" w:rsidRPr="007D1B17">
        <w:rPr>
          <w:sz w:val="22"/>
          <w:szCs w:val="22"/>
          <w:lang w:val="fr-FR"/>
        </w:rPr>
        <w:t xml:space="preserve"> </w:t>
      </w:r>
      <w:r w:rsidR="007E5212" w:rsidRPr="007D1B17">
        <w:rPr>
          <w:sz w:val="22"/>
          <w:szCs w:val="22"/>
          <w:lang w:val="fr-FR"/>
        </w:rPr>
        <w:t>m</w:t>
      </w:r>
      <w:r w:rsidR="00951203" w:rsidRPr="007D1B17">
        <w:rPr>
          <w:sz w:val="22"/>
          <w:szCs w:val="22"/>
          <w:lang w:val="fr-FR"/>
        </w:rPr>
        <w:t>m</w:t>
      </w:r>
      <w:r w:rsidR="007E5212" w:rsidRPr="007D1B17">
        <w:rPr>
          <w:sz w:val="22"/>
          <w:szCs w:val="22"/>
          <w:lang w:val="fr-FR"/>
        </w:rPr>
        <w:t xml:space="preserve"> (</w:t>
      </w:r>
      <w:r w:rsidR="0015691C" w:rsidRPr="007D1B17">
        <w:rPr>
          <w:sz w:val="22"/>
          <w:szCs w:val="22"/>
          <w:lang w:val="fr-FR"/>
        </w:rPr>
        <w:t>entre-axe</w:t>
      </w:r>
      <w:r w:rsidR="007E5212" w:rsidRPr="007D1B17">
        <w:rPr>
          <w:sz w:val="22"/>
          <w:szCs w:val="22"/>
          <w:lang w:val="fr-FR"/>
        </w:rPr>
        <w:t>)</w:t>
      </w:r>
    </w:p>
    <w:p w14:paraId="1B41774C" w14:textId="12108AEA" w:rsidR="00B1783A" w:rsidRDefault="007E1354" w:rsidP="00CF6639">
      <w:pPr>
        <w:pStyle w:val="Lijstalinea"/>
        <w:numPr>
          <w:ilvl w:val="0"/>
          <w:numId w:val="5"/>
        </w:numPr>
        <w:jc w:val="both"/>
        <w:rPr>
          <w:sz w:val="22"/>
          <w:szCs w:val="22"/>
          <w:lang w:val="fr-FR"/>
        </w:rPr>
      </w:pPr>
      <w:r w:rsidRPr="007D1B17">
        <w:rPr>
          <w:sz w:val="22"/>
          <w:szCs w:val="22"/>
          <w:lang w:val="fr-FR"/>
        </w:rPr>
        <w:t>Profondeur </w:t>
      </w:r>
      <w:r w:rsidR="00FD57AB" w:rsidRPr="007D1B17">
        <w:rPr>
          <w:sz w:val="22"/>
          <w:szCs w:val="22"/>
          <w:lang w:val="fr-FR"/>
        </w:rPr>
        <w:t xml:space="preserve">totale </w:t>
      </w:r>
      <w:r w:rsidRPr="007D1B17">
        <w:rPr>
          <w:sz w:val="22"/>
          <w:szCs w:val="22"/>
          <w:lang w:val="fr-FR"/>
        </w:rPr>
        <w:t xml:space="preserve">: </w:t>
      </w:r>
      <w:r w:rsidR="00CC6985" w:rsidRPr="007D1B17">
        <w:rPr>
          <w:sz w:val="22"/>
          <w:szCs w:val="22"/>
          <w:lang w:val="fr-FR"/>
        </w:rPr>
        <w:t>5</w:t>
      </w:r>
      <w:r w:rsidR="00EB4E8D">
        <w:rPr>
          <w:sz w:val="22"/>
          <w:szCs w:val="22"/>
          <w:lang w:val="fr-FR"/>
        </w:rPr>
        <w:t>6</w:t>
      </w:r>
      <w:r w:rsidR="00B1783A" w:rsidRPr="007D1B17">
        <w:rPr>
          <w:sz w:val="22"/>
          <w:szCs w:val="22"/>
          <w:lang w:val="fr-FR"/>
        </w:rPr>
        <w:t>5</w:t>
      </w:r>
      <w:r w:rsidR="00CC6985" w:rsidRPr="007D1B17">
        <w:rPr>
          <w:sz w:val="22"/>
          <w:szCs w:val="22"/>
          <w:lang w:val="fr-FR"/>
        </w:rPr>
        <w:t>mm</w:t>
      </w:r>
      <w:r w:rsidR="0015691C" w:rsidRPr="007D1B17">
        <w:rPr>
          <w:sz w:val="22"/>
          <w:szCs w:val="22"/>
          <w:lang w:val="fr-FR"/>
        </w:rPr>
        <w:t xml:space="preserve">, </w:t>
      </w:r>
      <w:r w:rsidR="00FD57AB" w:rsidRPr="007D1B17">
        <w:rPr>
          <w:sz w:val="22"/>
          <w:szCs w:val="22"/>
          <w:lang w:val="fr-FR"/>
        </w:rPr>
        <w:t>largeur armoir</w:t>
      </w:r>
      <w:r w:rsidR="00040448">
        <w:rPr>
          <w:sz w:val="22"/>
          <w:szCs w:val="22"/>
          <w:lang w:val="fr-FR"/>
        </w:rPr>
        <w:t>e</w:t>
      </w:r>
      <w:r w:rsidR="00FD57AB" w:rsidRPr="007D1B17">
        <w:rPr>
          <w:sz w:val="22"/>
          <w:szCs w:val="22"/>
          <w:lang w:val="fr-FR"/>
        </w:rPr>
        <w:t xml:space="preserve"> : 500 </w:t>
      </w:r>
      <w:r w:rsidR="0015691C" w:rsidRPr="007D1B17">
        <w:rPr>
          <w:sz w:val="22"/>
          <w:szCs w:val="22"/>
          <w:lang w:val="fr-FR"/>
        </w:rPr>
        <w:t xml:space="preserve">mm </w:t>
      </w:r>
    </w:p>
    <w:p w14:paraId="38D15CF7" w14:textId="77777777" w:rsidR="00616597" w:rsidRDefault="00616597" w:rsidP="00616597">
      <w:pPr>
        <w:pStyle w:val="Lijstalinea"/>
        <w:jc w:val="both"/>
        <w:rPr>
          <w:sz w:val="22"/>
          <w:szCs w:val="22"/>
          <w:lang w:val="fr-FR"/>
        </w:rPr>
      </w:pPr>
    </w:p>
    <w:p w14:paraId="6D6A429B" w14:textId="77777777" w:rsidR="00616597" w:rsidRDefault="00616597" w:rsidP="00616597">
      <w:pPr>
        <w:jc w:val="both"/>
        <w:rPr>
          <w:sz w:val="22"/>
          <w:szCs w:val="22"/>
          <w:u w:val="single"/>
          <w:lang w:val="fr-FR"/>
        </w:rPr>
      </w:pPr>
    </w:p>
    <w:p w14:paraId="7152543B" w14:textId="77777777" w:rsidR="00616597" w:rsidRDefault="00616597" w:rsidP="00616597">
      <w:pPr>
        <w:jc w:val="both"/>
        <w:rPr>
          <w:sz w:val="22"/>
          <w:szCs w:val="22"/>
          <w:u w:val="single"/>
          <w:lang w:val="fr-FR"/>
        </w:rPr>
      </w:pPr>
    </w:p>
    <w:p w14:paraId="1B4D8911" w14:textId="77777777" w:rsidR="00616597" w:rsidRDefault="00616597" w:rsidP="00616597">
      <w:pPr>
        <w:jc w:val="both"/>
        <w:rPr>
          <w:sz w:val="22"/>
          <w:szCs w:val="22"/>
          <w:u w:val="single"/>
          <w:lang w:val="fr-FR"/>
        </w:rPr>
      </w:pPr>
    </w:p>
    <w:p w14:paraId="700B88E6" w14:textId="77777777" w:rsidR="00616597" w:rsidRDefault="00616597" w:rsidP="00616597">
      <w:pPr>
        <w:jc w:val="both"/>
        <w:rPr>
          <w:sz w:val="22"/>
          <w:szCs w:val="22"/>
          <w:u w:val="single"/>
          <w:lang w:val="fr-FR"/>
        </w:rPr>
      </w:pPr>
    </w:p>
    <w:p w14:paraId="683AC31A" w14:textId="207CD531" w:rsidR="00616597" w:rsidRPr="00616597" w:rsidRDefault="00616597" w:rsidP="00616597">
      <w:pPr>
        <w:jc w:val="both"/>
        <w:rPr>
          <w:sz w:val="22"/>
          <w:szCs w:val="22"/>
          <w:u w:val="single"/>
          <w:lang w:val="fr-FR"/>
        </w:rPr>
      </w:pPr>
      <w:r w:rsidRPr="00616597">
        <w:rPr>
          <w:sz w:val="22"/>
          <w:szCs w:val="22"/>
          <w:u w:val="single"/>
          <w:lang w:val="fr-FR"/>
        </w:rPr>
        <w:lastRenderedPageBreak/>
        <w:t>Armoires de chargement :</w:t>
      </w:r>
    </w:p>
    <w:p w14:paraId="2B62A3DA" w14:textId="77777777" w:rsidR="00616597" w:rsidRPr="00616597" w:rsidRDefault="00616597" w:rsidP="00616597">
      <w:pPr>
        <w:jc w:val="both"/>
        <w:rPr>
          <w:sz w:val="22"/>
          <w:szCs w:val="22"/>
          <w:lang w:val="fr-FR"/>
        </w:rPr>
      </w:pPr>
    </w:p>
    <w:p w14:paraId="7BABEF9C" w14:textId="77777777" w:rsidR="00616597" w:rsidRPr="007D1B17" w:rsidRDefault="00616597" w:rsidP="00616597">
      <w:pPr>
        <w:pStyle w:val="Lijstalinea"/>
        <w:numPr>
          <w:ilvl w:val="0"/>
          <w:numId w:val="5"/>
        </w:numPr>
        <w:jc w:val="both"/>
        <w:rPr>
          <w:sz w:val="22"/>
          <w:szCs w:val="22"/>
          <w:lang w:val="fr-FR"/>
        </w:rPr>
      </w:pPr>
      <w:r w:rsidRPr="007D1B17">
        <w:rPr>
          <w:sz w:val="22"/>
          <w:szCs w:val="22"/>
          <w:lang w:val="fr-FR"/>
        </w:rPr>
        <w:t>Hauteur totale, socle et profil supérieur inclus : 2080 mm</w:t>
      </w:r>
    </w:p>
    <w:p w14:paraId="0E14366D" w14:textId="77777777" w:rsidR="00616597" w:rsidRPr="007D1B17" w:rsidRDefault="00616597" w:rsidP="00616597">
      <w:pPr>
        <w:pStyle w:val="Lijstalinea"/>
        <w:numPr>
          <w:ilvl w:val="0"/>
          <w:numId w:val="5"/>
        </w:numPr>
        <w:jc w:val="both"/>
        <w:rPr>
          <w:sz w:val="22"/>
          <w:szCs w:val="22"/>
          <w:lang w:val="fr-FR"/>
        </w:rPr>
      </w:pPr>
      <w:r w:rsidRPr="007D1B17">
        <w:rPr>
          <w:sz w:val="22"/>
          <w:szCs w:val="22"/>
          <w:lang w:val="fr-FR"/>
        </w:rPr>
        <w:t>Hauteur armoire : 1830 mm</w:t>
      </w:r>
    </w:p>
    <w:p w14:paraId="3878A5BA" w14:textId="77777777" w:rsidR="00616597" w:rsidRPr="007D1B17" w:rsidRDefault="00616597" w:rsidP="00616597">
      <w:pPr>
        <w:pStyle w:val="Lijstalinea"/>
        <w:numPr>
          <w:ilvl w:val="0"/>
          <w:numId w:val="5"/>
        </w:numPr>
        <w:jc w:val="both"/>
        <w:rPr>
          <w:sz w:val="22"/>
          <w:szCs w:val="22"/>
          <w:lang w:val="fr-FR"/>
        </w:rPr>
      </w:pPr>
      <w:r w:rsidRPr="007D1B17">
        <w:rPr>
          <w:sz w:val="22"/>
          <w:szCs w:val="22"/>
          <w:lang w:val="fr-FR"/>
        </w:rPr>
        <w:t xml:space="preserve">Hauteur socle : 150 mm ou 600 mm (type 350 </w:t>
      </w:r>
      <w:r>
        <w:rPr>
          <w:sz w:val="22"/>
          <w:szCs w:val="22"/>
          <w:lang w:val="fr-FR"/>
        </w:rPr>
        <w:t>vs</w:t>
      </w:r>
      <w:r w:rsidRPr="007D1B17">
        <w:rPr>
          <w:sz w:val="22"/>
          <w:szCs w:val="22"/>
          <w:lang w:val="fr-FR"/>
        </w:rPr>
        <w:t>)</w:t>
      </w:r>
    </w:p>
    <w:p w14:paraId="077A97E8" w14:textId="77777777" w:rsidR="00616597" w:rsidRPr="007D1B17" w:rsidRDefault="00616597" w:rsidP="00616597">
      <w:pPr>
        <w:pStyle w:val="Lijstalinea"/>
        <w:numPr>
          <w:ilvl w:val="0"/>
          <w:numId w:val="5"/>
        </w:numPr>
        <w:jc w:val="both"/>
        <w:rPr>
          <w:sz w:val="22"/>
          <w:szCs w:val="22"/>
          <w:lang w:val="fr-FR"/>
        </w:rPr>
      </w:pPr>
      <w:r w:rsidRPr="007D1B17">
        <w:rPr>
          <w:sz w:val="22"/>
          <w:szCs w:val="22"/>
          <w:lang w:val="fr-FR"/>
        </w:rPr>
        <w:t>Largeur : 350 mm ou 500 mm (entre-axe)</w:t>
      </w:r>
    </w:p>
    <w:p w14:paraId="05224FC4" w14:textId="2B03866A" w:rsidR="00616597" w:rsidRPr="007D1B17" w:rsidRDefault="00616597" w:rsidP="00616597">
      <w:pPr>
        <w:pStyle w:val="Lijstalinea"/>
        <w:numPr>
          <w:ilvl w:val="0"/>
          <w:numId w:val="5"/>
        </w:numPr>
        <w:jc w:val="both"/>
        <w:rPr>
          <w:sz w:val="22"/>
          <w:szCs w:val="22"/>
          <w:lang w:val="fr-FR"/>
        </w:rPr>
      </w:pPr>
      <w:r w:rsidRPr="007D1B17">
        <w:rPr>
          <w:sz w:val="22"/>
          <w:szCs w:val="22"/>
          <w:lang w:val="fr-FR"/>
        </w:rPr>
        <w:t>Profondeur totale : 5</w:t>
      </w:r>
      <w:r w:rsidR="00EB4E8D">
        <w:rPr>
          <w:sz w:val="22"/>
          <w:szCs w:val="22"/>
          <w:lang w:val="fr-FR"/>
        </w:rPr>
        <w:t>6</w:t>
      </w:r>
      <w:r w:rsidRPr="007D1B17">
        <w:rPr>
          <w:sz w:val="22"/>
          <w:szCs w:val="22"/>
          <w:lang w:val="fr-FR"/>
        </w:rPr>
        <w:t>5mm, largeur armoir</w:t>
      </w:r>
      <w:r>
        <w:rPr>
          <w:sz w:val="22"/>
          <w:szCs w:val="22"/>
          <w:lang w:val="fr-FR"/>
        </w:rPr>
        <w:t>e</w:t>
      </w:r>
      <w:r w:rsidRPr="007D1B17">
        <w:rPr>
          <w:sz w:val="22"/>
          <w:szCs w:val="22"/>
          <w:lang w:val="fr-FR"/>
        </w:rPr>
        <w:t xml:space="preserve"> : 500 mm </w:t>
      </w:r>
    </w:p>
    <w:p w14:paraId="398A5A2E" w14:textId="5F1ADC94" w:rsidR="00B1783A" w:rsidRPr="007D1B17" w:rsidRDefault="0015691C" w:rsidP="00CC6985">
      <w:pPr>
        <w:jc w:val="both"/>
        <w:rPr>
          <w:sz w:val="22"/>
          <w:szCs w:val="22"/>
          <w:lang w:val="fr-FR"/>
        </w:rPr>
      </w:pPr>
      <w:r w:rsidRPr="007D1B17">
        <w:rPr>
          <w:sz w:val="22"/>
          <w:szCs w:val="22"/>
          <w:lang w:val="fr-FR"/>
        </w:rPr>
        <w:tab/>
      </w:r>
      <w:r w:rsidRPr="007D1B17">
        <w:rPr>
          <w:sz w:val="22"/>
          <w:szCs w:val="22"/>
          <w:lang w:val="fr-FR"/>
        </w:rPr>
        <w:tab/>
      </w:r>
    </w:p>
    <w:p w14:paraId="15D17B88" w14:textId="77777777" w:rsidR="00616597" w:rsidRDefault="00616597" w:rsidP="00CC6985">
      <w:pPr>
        <w:jc w:val="both"/>
        <w:rPr>
          <w:b/>
          <w:sz w:val="22"/>
          <w:szCs w:val="22"/>
          <w:lang w:val="fr-FR"/>
        </w:rPr>
      </w:pPr>
    </w:p>
    <w:p w14:paraId="49B272CB" w14:textId="1D27AAD5" w:rsidR="00CC6985" w:rsidRPr="007D1B17" w:rsidRDefault="00CC6985" w:rsidP="00CC6985">
      <w:pPr>
        <w:jc w:val="both"/>
        <w:rPr>
          <w:b/>
          <w:sz w:val="22"/>
          <w:szCs w:val="22"/>
          <w:lang w:val="fr-FR"/>
        </w:rPr>
      </w:pPr>
      <w:r w:rsidRPr="007D1B17">
        <w:rPr>
          <w:b/>
          <w:sz w:val="22"/>
          <w:szCs w:val="22"/>
          <w:lang w:val="fr-FR"/>
        </w:rPr>
        <w:t>Modèle et aménagement :</w:t>
      </w:r>
    </w:p>
    <w:p w14:paraId="292DDCE6" w14:textId="0F5A8D35" w:rsidR="00CF6639" w:rsidRDefault="00CF6639" w:rsidP="00CC6985">
      <w:pPr>
        <w:jc w:val="both"/>
        <w:rPr>
          <w:b/>
          <w:sz w:val="22"/>
          <w:szCs w:val="22"/>
          <w:lang w:val="fr-FR"/>
        </w:rPr>
      </w:pPr>
    </w:p>
    <w:p w14:paraId="1FE7E5D3" w14:textId="7935E15D" w:rsidR="00616597" w:rsidRPr="00616597" w:rsidRDefault="00616597" w:rsidP="00CC6985">
      <w:pPr>
        <w:jc w:val="both"/>
        <w:rPr>
          <w:bCs/>
          <w:sz w:val="22"/>
          <w:szCs w:val="22"/>
          <w:u w:val="single"/>
          <w:lang w:val="fr-FR"/>
        </w:rPr>
      </w:pPr>
      <w:r w:rsidRPr="00616597">
        <w:rPr>
          <w:bCs/>
          <w:sz w:val="22"/>
          <w:szCs w:val="22"/>
          <w:u w:val="single"/>
          <w:lang w:val="fr-FR"/>
        </w:rPr>
        <w:t>Armoires vestiaires :</w:t>
      </w:r>
    </w:p>
    <w:p w14:paraId="2313A2CD" w14:textId="4359493F" w:rsidR="00616597" w:rsidRDefault="00616597" w:rsidP="00CC6985">
      <w:pPr>
        <w:jc w:val="both"/>
        <w:rPr>
          <w:b/>
          <w:sz w:val="22"/>
          <w:szCs w:val="22"/>
          <w:lang w:val="fr-FR"/>
        </w:rPr>
      </w:pPr>
    </w:p>
    <w:p w14:paraId="7E236653" w14:textId="77777777" w:rsidR="00616597" w:rsidRPr="00B06BAA" w:rsidRDefault="00616597" w:rsidP="00616597">
      <w:pPr>
        <w:pStyle w:val="Lijstalinea"/>
        <w:numPr>
          <w:ilvl w:val="0"/>
          <w:numId w:val="7"/>
        </w:numPr>
        <w:rPr>
          <w:sz w:val="22"/>
          <w:lang w:val="fr-FR"/>
        </w:rPr>
      </w:pPr>
      <w:r w:rsidRPr="00B06BAA">
        <w:rPr>
          <w:sz w:val="22"/>
          <w:lang w:val="fr-FR"/>
        </w:rPr>
        <w:t>Type 1 : 300 - 350 - 400 : Armoire monobloc, tablette supérieure et double patère</w:t>
      </w:r>
    </w:p>
    <w:p w14:paraId="2F197D75" w14:textId="77777777" w:rsidR="00616597" w:rsidRPr="00B06BAA" w:rsidRDefault="00616597" w:rsidP="00616597">
      <w:pPr>
        <w:pStyle w:val="Lijstalinea"/>
        <w:numPr>
          <w:ilvl w:val="0"/>
          <w:numId w:val="7"/>
        </w:numPr>
        <w:rPr>
          <w:sz w:val="22"/>
          <w:lang w:val="fr-FR"/>
        </w:rPr>
      </w:pPr>
      <w:r w:rsidRPr="00B06BAA">
        <w:rPr>
          <w:sz w:val="22"/>
          <w:lang w:val="fr-FR"/>
        </w:rPr>
        <w:t xml:space="preserve">Type 2 : 300 - 350 </w:t>
      </w:r>
      <w:r>
        <w:rPr>
          <w:sz w:val="22"/>
          <w:lang w:val="fr-FR"/>
        </w:rPr>
        <w:t>-</w:t>
      </w:r>
      <w:r w:rsidRPr="00B06BAA">
        <w:rPr>
          <w:sz w:val="22"/>
          <w:lang w:val="fr-FR"/>
        </w:rPr>
        <w:t xml:space="preserve"> 400</w:t>
      </w:r>
      <w:r>
        <w:rPr>
          <w:sz w:val="22"/>
          <w:lang w:val="fr-FR"/>
        </w:rPr>
        <w:t xml:space="preserve"> </w:t>
      </w:r>
      <w:r w:rsidRPr="00B06BAA">
        <w:rPr>
          <w:sz w:val="22"/>
          <w:lang w:val="fr-FR"/>
        </w:rPr>
        <w:t>: Armoire en deux partis, double patère en alu</w:t>
      </w:r>
    </w:p>
    <w:p w14:paraId="7FEEBC5B" w14:textId="77777777" w:rsidR="00616597" w:rsidRPr="00B06BAA" w:rsidRDefault="00616597" w:rsidP="00616597">
      <w:pPr>
        <w:pStyle w:val="Lijstalinea"/>
        <w:numPr>
          <w:ilvl w:val="0"/>
          <w:numId w:val="7"/>
        </w:numPr>
        <w:rPr>
          <w:sz w:val="22"/>
          <w:lang w:val="fr-FR"/>
        </w:rPr>
      </w:pPr>
      <w:r w:rsidRPr="00B06BAA">
        <w:rPr>
          <w:sz w:val="22"/>
          <w:lang w:val="fr-FR"/>
        </w:rPr>
        <w:t>Type 3 à 6 : 300 - 350 - 400 : Armoire en trois à six parties, sans équipement</w:t>
      </w:r>
    </w:p>
    <w:p w14:paraId="04BCDA82" w14:textId="77777777" w:rsidR="00616597" w:rsidRDefault="00616597" w:rsidP="00616597">
      <w:pPr>
        <w:rPr>
          <w:sz w:val="22"/>
          <w:lang w:val="fr-FR"/>
        </w:rPr>
      </w:pPr>
    </w:p>
    <w:p w14:paraId="0AA30B83" w14:textId="3540A0DF" w:rsidR="00616597" w:rsidRDefault="00616597" w:rsidP="00616597">
      <w:pPr>
        <w:jc w:val="both"/>
        <w:rPr>
          <w:sz w:val="22"/>
          <w:lang w:val="fr-FR"/>
        </w:rPr>
      </w:pPr>
      <w:r>
        <w:rPr>
          <w:sz w:val="22"/>
          <w:lang w:val="fr-FR"/>
        </w:rPr>
        <w:t xml:space="preserve">Option : </w:t>
      </w:r>
      <w:r w:rsidRPr="00B06BAA">
        <w:rPr>
          <w:sz w:val="22"/>
          <w:lang w:val="fr-FR"/>
        </w:rPr>
        <w:t>barre de suspension en cuivre nickelé diamètre 19mm avec crochets coulissants en aluminium (nombre à définir)</w:t>
      </w:r>
    </w:p>
    <w:p w14:paraId="2F473098" w14:textId="77777777" w:rsidR="00616597" w:rsidRDefault="00616597" w:rsidP="00616597">
      <w:pPr>
        <w:rPr>
          <w:sz w:val="22"/>
          <w:lang w:val="fr-FR"/>
        </w:rPr>
      </w:pPr>
    </w:p>
    <w:p w14:paraId="591FF3AF" w14:textId="77777777" w:rsidR="00616597" w:rsidRDefault="00616597" w:rsidP="00616597">
      <w:pPr>
        <w:rPr>
          <w:sz w:val="22"/>
          <w:lang w:val="fr-FR"/>
        </w:rPr>
      </w:pPr>
      <w:r>
        <w:rPr>
          <w:sz w:val="22"/>
          <w:lang w:val="fr-FR"/>
        </w:rPr>
        <w:t>Une ventilation naturelle optimale est assurée par les portes à recouvrement.</w:t>
      </w:r>
      <w:r>
        <w:rPr>
          <w:sz w:val="22"/>
          <w:lang w:val="fr-FR"/>
        </w:rPr>
        <w:br/>
        <w:t>Toutes les portes sont numérotées par gravure.  Supplément pour coloris du défonçage.</w:t>
      </w:r>
      <w:r>
        <w:rPr>
          <w:sz w:val="22"/>
          <w:lang w:val="fr-FR"/>
        </w:rPr>
        <w:br/>
        <w:t>Les extrémités des rangées sont habillées de panneaux identiques aux portes.</w:t>
      </w:r>
    </w:p>
    <w:p w14:paraId="535BC742" w14:textId="77777777" w:rsidR="00616597" w:rsidRDefault="00616597" w:rsidP="00CC6985">
      <w:pPr>
        <w:jc w:val="both"/>
        <w:rPr>
          <w:b/>
          <w:sz w:val="22"/>
          <w:szCs w:val="22"/>
          <w:lang w:val="fr-FR"/>
        </w:rPr>
      </w:pPr>
    </w:p>
    <w:p w14:paraId="23309524" w14:textId="1B71EC2D" w:rsidR="00616597" w:rsidRPr="00616597" w:rsidRDefault="00616597" w:rsidP="00CC6985">
      <w:pPr>
        <w:jc w:val="both"/>
        <w:rPr>
          <w:bCs/>
          <w:sz w:val="22"/>
          <w:szCs w:val="22"/>
          <w:u w:val="single"/>
          <w:lang w:val="fr-FR"/>
        </w:rPr>
      </w:pPr>
      <w:r w:rsidRPr="00616597">
        <w:rPr>
          <w:bCs/>
          <w:sz w:val="22"/>
          <w:szCs w:val="22"/>
          <w:u w:val="single"/>
          <w:lang w:val="fr-FR"/>
        </w:rPr>
        <w:t>Armoires de chargement :</w:t>
      </w:r>
    </w:p>
    <w:p w14:paraId="7C7E2B92" w14:textId="77777777" w:rsidR="00616597" w:rsidRPr="007D1B17" w:rsidRDefault="00616597" w:rsidP="00CC6985">
      <w:pPr>
        <w:jc w:val="both"/>
        <w:rPr>
          <w:b/>
          <w:sz w:val="22"/>
          <w:szCs w:val="22"/>
          <w:lang w:val="fr-FR"/>
        </w:rPr>
      </w:pPr>
    </w:p>
    <w:p w14:paraId="72A6A828" w14:textId="71C9A255" w:rsidR="008C1391" w:rsidRPr="00EB4E8D" w:rsidRDefault="008C1391" w:rsidP="008C1391">
      <w:pPr>
        <w:pStyle w:val="Lijstalinea"/>
        <w:numPr>
          <w:ilvl w:val="0"/>
          <w:numId w:val="7"/>
        </w:numPr>
        <w:rPr>
          <w:sz w:val="22"/>
          <w:szCs w:val="22"/>
          <w:lang w:val="fr-BE"/>
        </w:rPr>
      </w:pPr>
      <w:r w:rsidRPr="00EB4E8D">
        <w:rPr>
          <w:sz w:val="22"/>
          <w:szCs w:val="22"/>
          <w:lang w:val="fr-BE"/>
        </w:rPr>
        <w:t>Type 500 - 1 / 2 : Armoire monobloc avec 2 compartiments, 1 patère en aluminium</w:t>
      </w:r>
    </w:p>
    <w:p w14:paraId="7E8DFD5D" w14:textId="61E9DEB5" w:rsidR="008C1391" w:rsidRPr="00EB4E8D" w:rsidRDefault="008C1391" w:rsidP="008C1391">
      <w:pPr>
        <w:pStyle w:val="Lijstalinea"/>
        <w:numPr>
          <w:ilvl w:val="0"/>
          <w:numId w:val="7"/>
        </w:numPr>
        <w:rPr>
          <w:sz w:val="22"/>
          <w:szCs w:val="22"/>
          <w:lang w:val="fr-BE"/>
        </w:rPr>
      </w:pPr>
      <w:r w:rsidRPr="00EB4E8D">
        <w:rPr>
          <w:sz w:val="22"/>
          <w:szCs w:val="22"/>
          <w:lang w:val="fr-BE"/>
        </w:rPr>
        <w:t>Type 500 - 2 / 3 (4*) : Armoire en deux casiers avec 3 ou 4 compartiments, 1 patère en aluminium.</w:t>
      </w:r>
    </w:p>
    <w:p w14:paraId="283DDC49" w14:textId="52D2C6E2" w:rsidR="008C1391" w:rsidRPr="007D1B17" w:rsidRDefault="008C1391" w:rsidP="008C1391">
      <w:pPr>
        <w:pStyle w:val="Lijstalinea"/>
        <w:numPr>
          <w:ilvl w:val="0"/>
          <w:numId w:val="7"/>
        </w:numPr>
        <w:rPr>
          <w:sz w:val="22"/>
          <w:szCs w:val="22"/>
        </w:rPr>
      </w:pPr>
      <w:r w:rsidRPr="007D1B17">
        <w:rPr>
          <w:sz w:val="22"/>
          <w:szCs w:val="22"/>
        </w:rPr>
        <w:t xml:space="preserve">Type 350 - 1 / 2 : </w:t>
      </w:r>
      <w:proofErr w:type="spellStart"/>
      <w:r w:rsidRPr="007D1B17">
        <w:rPr>
          <w:sz w:val="22"/>
          <w:szCs w:val="22"/>
        </w:rPr>
        <w:t>Armoire</w:t>
      </w:r>
      <w:proofErr w:type="spellEnd"/>
      <w:r w:rsidRPr="007D1B17">
        <w:rPr>
          <w:sz w:val="22"/>
          <w:szCs w:val="22"/>
        </w:rPr>
        <w:t xml:space="preserve"> </w:t>
      </w:r>
      <w:proofErr w:type="spellStart"/>
      <w:r w:rsidRPr="007D1B17">
        <w:rPr>
          <w:sz w:val="22"/>
          <w:szCs w:val="22"/>
        </w:rPr>
        <w:t>monobloc</w:t>
      </w:r>
      <w:proofErr w:type="spellEnd"/>
      <w:r w:rsidRPr="007D1B17">
        <w:rPr>
          <w:sz w:val="22"/>
          <w:szCs w:val="22"/>
        </w:rPr>
        <w:t xml:space="preserve"> </w:t>
      </w:r>
      <w:proofErr w:type="spellStart"/>
      <w:r w:rsidRPr="007D1B17">
        <w:rPr>
          <w:sz w:val="22"/>
          <w:szCs w:val="22"/>
        </w:rPr>
        <w:t>avec</w:t>
      </w:r>
      <w:proofErr w:type="spellEnd"/>
      <w:r w:rsidRPr="007D1B17">
        <w:rPr>
          <w:sz w:val="22"/>
          <w:szCs w:val="22"/>
        </w:rPr>
        <w:t xml:space="preserve"> 2 </w:t>
      </w:r>
      <w:proofErr w:type="spellStart"/>
      <w:r w:rsidRPr="007D1B17">
        <w:rPr>
          <w:sz w:val="22"/>
          <w:szCs w:val="22"/>
        </w:rPr>
        <w:t>compartiments</w:t>
      </w:r>
      <w:proofErr w:type="spellEnd"/>
    </w:p>
    <w:p w14:paraId="6838ADF7" w14:textId="6411AA02" w:rsidR="008C1391" w:rsidRPr="00EB4E8D" w:rsidRDefault="008C1391" w:rsidP="008C1391">
      <w:pPr>
        <w:pStyle w:val="Lijstalinea"/>
        <w:numPr>
          <w:ilvl w:val="0"/>
          <w:numId w:val="7"/>
        </w:numPr>
        <w:rPr>
          <w:sz w:val="22"/>
          <w:szCs w:val="22"/>
          <w:lang w:val="fr-BE"/>
        </w:rPr>
      </w:pPr>
      <w:r w:rsidRPr="00EB4E8D">
        <w:rPr>
          <w:sz w:val="22"/>
          <w:szCs w:val="22"/>
          <w:lang w:val="fr-BE"/>
        </w:rPr>
        <w:t>Type 350 - 2 / 2 (3*) : Armoire en deux casiers avec 2 ou 3 compartiments, 1 patère en aluminium.</w:t>
      </w:r>
    </w:p>
    <w:p w14:paraId="6176C794" w14:textId="4764DA4F" w:rsidR="008C1391" w:rsidRPr="00EB4E8D" w:rsidRDefault="008C1391" w:rsidP="008C1391">
      <w:pPr>
        <w:pStyle w:val="Lijstalinea"/>
        <w:numPr>
          <w:ilvl w:val="0"/>
          <w:numId w:val="7"/>
        </w:numPr>
        <w:rPr>
          <w:sz w:val="22"/>
          <w:szCs w:val="22"/>
          <w:lang w:val="fr-BE"/>
        </w:rPr>
      </w:pPr>
      <w:r w:rsidRPr="00EB4E8D">
        <w:rPr>
          <w:sz w:val="22"/>
          <w:szCs w:val="22"/>
          <w:lang w:val="fr-BE"/>
        </w:rPr>
        <w:t xml:space="preserve">Type 350 - 3 / 2: Armoire en trois casiers avec 2 compartiments </w:t>
      </w:r>
    </w:p>
    <w:p w14:paraId="24D3535B" w14:textId="2635BC19" w:rsidR="008C1391" w:rsidRPr="00EB4E8D" w:rsidRDefault="008C1391" w:rsidP="008C1391">
      <w:pPr>
        <w:pStyle w:val="Lijstalinea"/>
        <w:numPr>
          <w:ilvl w:val="0"/>
          <w:numId w:val="7"/>
        </w:numPr>
        <w:rPr>
          <w:sz w:val="22"/>
          <w:szCs w:val="22"/>
          <w:lang w:val="fr-BE"/>
        </w:rPr>
      </w:pPr>
      <w:r w:rsidRPr="00EB4E8D">
        <w:rPr>
          <w:sz w:val="22"/>
          <w:szCs w:val="22"/>
          <w:lang w:val="fr-BE"/>
        </w:rPr>
        <w:t>Type 350 - 3 / 1</w:t>
      </w:r>
      <w:r w:rsidR="00C052D4" w:rsidRPr="00EB4E8D">
        <w:rPr>
          <w:sz w:val="22"/>
          <w:szCs w:val="22"/>
          <w:lang w:val="fr-BE"/>
        </w:rPr>
        <w:t xml:space="preserve"> vs</w:t>
      </w:r>
      <w:r w:rsidRPr="00EB4E8D">
        <w:rPr>
          <w:sz w:val="22"/>
          <w:szCs w:val="22"/>
          <w:lang w:val="fr-BE"/>
        </w:rPr>
        <w:t xml:space="preserve"> : Armoire en trois casiers avec un compartiment (socle surélevé)</w:t>
      </w:r>
    </w:p>
    <w:p w14:paraId="767DD9C1" w14:textId="097FD117" w:rsidR="00C052D4" w:rsidRPr="00EB4E8D" w:rsidRDefault="00C052D4" w:rsidP="008C1391">
      <w:pPr>
        <w:pStyle w:val="Lijstalinea"/>
        <w:numPr>
          <w:ilvl w:val="0"/>
          <w:numId w:val="7"/>
        </w:numPr>
        <w:rPr>
          <w:sz w:val="22"/>
          <w:szCs w:val="22"/>
          <w:lang w:val="fr-BE"/>
        </w:rPr>
      </w:pPr>
      <w:r w:rsidRPr="00EB4E8D">
        <w:rPr>
          <w:sz w:val="22"/>
          <w:szCs w:val="22"/>
          <w:lang w:val="fr-BE"/>
        </w:rPr>
        <w:t>Type 350 - 6 / 1 vs : Armoire en six casiers avec un compartiment (socle surélevé)</w:t>
      </w:r>
    </w:p>
    <w:p w14:paraId="5A3194B0" w14:textId="07850606" w:rsidR="008C1391" w:rsidRPr="00EB4E8D" w:rsidRDefault="008C1391" w:rsidP="008C1391">
      <w:pPr>
        <w:pStyle w:val="Lijstalinea"/>
        <w:numPr>
          <w:ilvl w:val="0"/>
          <w:numId w:val="7"/>
        </w:numPr>
        <w:rPr>
          <w:sz w:val="22"/>
          <w:szCs w:val="22"/>
          <w:lang w:val="fr-BE"/>
        </w:rPr>
      </w:pPr>
      <w:r w:rsidRPr="00EB4E8D">
        <w:rPr>
          <w:sz w:val="22"/>
          <w:szCs w:val="22"/>
          <w:lang w:val="fr-BE"/>
        </w:rPr>
        <w:t>Type 350 - 4 / 1 : Armoire en quatre casiers  avec un compartiment</w:t>
      </w:r>
    </w:p>
    <w:p w14:paraId="1544BD2B" w14:textId="28A205A3" w:rsidR="00C052D4" w:rsidRPr="00EB4E8D" w:rsidRDefault="00C052D4" w:rsidP="008C1391">
      <w:pPr>
        <w:pStyle w:val="Lijstalinea"/>
        <w:numPr>
          <w:ilvl w:val="0"/>
          <w:numId w:val="7"/>
        </w:numPr>
        <w:rPr>
          <w:sz w:val="22"/>
          <w:szCs w:val="22"/>
          <w:lang w:val="fr-BE"/>
        </w:rPr>
      </w:pPr>
      <w:r w:rsidRPr="00EB4E8D">
        <w:rPr>
          <w:sz w:val="22"/>
          <w:szCs w:val="22"/>
          <w:lang w:val="fr-BE"/>
        </w:rPr>
        <w:t>Type 350 - 6 / 1 : Armoire en six casiers avec un compartiment</w:t>
      </w:r>
    </w:p>
    <w:p w14:paraId="20609278" w14:textId="17DA943B" w:rsidR="008C1391" w:rsidRPr="00EB4E8D" w:rsidRDefault="00C052D4" w:rsidP="000A18F6">
      <w:pPr>
        <w:pStyle w:val="Lijstalinea"/>
        <w:numPr>
          <w:ilvl w:val="0"/>
          <w:numId w:val="7"/>
        </w:numPr>
        <w:rPr>
          <w:sz w:val="22"/>
          <w:szCs w:val="22"/>
          <w:lang w:val="fr-BE"/>
        </w:rPr>
      </w:pPr>
      <w:r w:rsidRPr="00EB4E8D">
        <w:rPr>
          <w:sz w:val="22"/>
          <w:szCs w:val="22"/>
          <w:lang w:val="fr-BE"/>
        </w:rPr>
        <w:t>Type 350 - 8 / 1 : Armoire en huit casiers avec un compa</w:t>
      </w:r>
      <w:r w:rsidR="006605BB">
        <w:rPr>
          <w:sz w:val="22"/>
          <w:szCs w:val="22"/>
          <w:lang w:val="fr-BE"/>
        </w:rPr>
        <w:t>r</w:t>
      </w:r>
      <w:r w:rsidRPr="00EB4E8D">
        <w:rPr>
          <w:sz w:val="22"/>
          <w:szCs w:val="22"/>
          <w:lang w:val="fr-BE"/>
        </w:rPr>
        <w:t>timent</w:t>
      </w:r>
    </w:p>
    <w:p w14:paraId="763FC850" w14:textId="07F4A019" w:rsidR="00C052D4" w:rsidRPr="00EB4E8D" w:rsidRDefault="00C052D4" w:rsidP="008C1391">
      <w:pPr>
        <w:pStyle w:val="Lijstalinea"/>
        <w:rPr>
          <w:sz w:val="22"/>
          <w:szCs w:val="22"/>
          <w:lang w:val="fr-BE"/>
        </w:rPr>
      </w:pPr>
    </w:p>
    <w:p w14:paraId="4EEBD947" w14:textId="0B685CFD" w:rsidR="007B631A" w:rsidRPr="00EB4E8D" w:rsidRDefault="008C1391" w:rsidP="00C052D4">
      <w:pPr>
        <w:rPr>
          <w:sz w:val="22"/>
          <w:szCs w:val="22"/>
          <w:lang w:val="fr-BE"/>
        </w:rPr>
      </w:pPr>
      <w:r w:rsidRPr="00EB4E8D">
        <w:rPr>
          <w:sz w:val="22"/>
          <w:szCs w:val="22"/>
          <w:lang w:val="fr-BE"/>
        </w:rPr>
        <w:t>(*) = option</w:t>
      </w:r>
    </w:p>
    <w:p w14:paraId="3DC3FE72" w14:textId="77777777" w:rsidR="00616597" w:rsidRPr="00EB4E8D" w:rsidRDefault="00616597" w:rsidP="00C052D4">
      <w:pPr>
        <w:rPr>
          <w:sz w:val="22"/>
          <w:szCs w:val="22"/>
          <w:lang w:val="fr-BE"/>
        </w:rPr>
      </w:pPr>
    </w:p>
    <w:p w14:paraId="2C9B855B" w14:textId="3759FB46" w:rsidR="00CF6639" w:rsidRPr="007D1B17" w:rsidRDefault="008C1391" w:rsidP="00BA029A">
      <w:pPr>
        <w:rPr>
          <w:sz w:val="22"/>
          <w:szCs w:val="22"/>
          <w:lang w:val="fr-FR"/>
        </w:rPr>
      </w:pPr>
      <w:r w:rsidRPr="00EB4E8D">
        <w:rPr>
          <w:sz w:val="22"/>
          <w:szCs w:val="22"/>
          <w:lang w:val="fr-BE"/>
        </w:rPr>
        <w:t xml:space="preserve">Un module de charge par unité d'armoire comprenant </w:t>
      </w:r>
      <w:r w:rsidR="00C052D4" w:rsidRPr="00EB4E8D">
        <w:rPr>
          <w:sz w:val="22"/>
          <w:szCs w:val="22"/>
          <w:lang w:val="fr-BE"/>
        </w:rPr>
        <w:t xml:space="preserve">1 prise ou </w:t>
      </w:r>
      <w:r w:rsidRPr="00EB4E8D">
        <w:rPr>
          <w:sz w:val="22"/>
          <w:szCs w:val="22"/>
          <w:lang w:val="fr-BE"/>
        </w:rPr>
        <w:t xml:space="preserve">2 prises (230 V) et 2 ports </w:t>
      </w:r>
      <w:r w:rsidR="00C052D4" w:rsidRPr="00EB4E8D">
        <w:rPr>
          <w:sz w:val="22"/>
          <w:szCs w:val="22"/>
          <w:lang w:val="fr-BE"/>
        </w:rPr>
        <w:t>U</w:t>
      </w:r>
      <w:r w:rsidRPr="00EB4E8D">
        <w:rPr>
          <w:sz w:val="22"/>
          <w:szCs w:val="22"/>
          <w:lang w:val="fr-BE"/>
        </w:rPr>
        <w:t>SB(5V/2A).</w:t>
      </w:r>
      <w:r w:rsidR="00BA029A">
        <w:rPr>
          <w:sz w:val="22"/>
          <w:szCs w:val="22"/>
          <w:lang w:val="fr-BE"/>
        </w:rPr>
        <w:t xml:space="preserve"> Cable de connexion sans halogène.</w:t>
      </w:r>
      <w:r w:rsidRPr="00EB4E8D">
        <w:rPr>
          <w:sz w:val="22"/>
          <w:szCs w:val="22"/>
          <w:lang w:val="fr-BE"/>
        </w:rPr>
        <w:br/>
      </w:r>
    </w:p>
    <w:p w14:paraId="1B629E92" w14:textId="77777777" w:rsidR="00616597" w:rsidRDefault="00616597" w:rsidP="00C46003">
      <w:pPr>
        <w:jc w:val="both"/>
        <w:rPr>
          <w:rFonts w:cs="Arial"/>
          <w:b/>
          <w:bCs/>
          <w:sz w:val="22"/>
          <w:szCs w:val="22"/>
          <w:lang w:val="fr-FR"/>
        </w:rPr>
      </w:pPr>
    </w:p>
    <w:p w14:paraId="4B4BF9A6" w14:textId="77777777" w:rsidR="00616597" w:rsidRDefault="00616597" w:rsidP="00C46003">
      <w:pPr>
        <w:jc w:val="both"/>
        <w:rPr>
          <w:rFonts w:cs="Arial"/>
          <w:b/>
          <w:bCs/>
          <w:sz w:val="22"/>
          <w:szCs w:val="22"/>
          <w:lang w:val="fr-FR"/>
        </w:rPr>
      </w:pPr>
    </w:p>
    <w:p w14:paraId="0E31CC5E" w14:textId="77777777" w:rsidR="00616597" w:rsidRDefault="00616597" w:rsidP="00C46003">
      <w:pPr>
        <w:jc w:val="both"/>
        <w:rPr>
          <w:rFonts w:cs="Arial"/>
          <w:b/>
          <w:bCs/>
          <w:sz w:val="22"/>
          <w:szCs w:val="22"/>
          <w:lang w:val="fr-FR"/>
        </w:rPr>
      </w:pPr>
    </w:p>
    <w:p w14:paraId="09B02535" w14:textId="77777777" w:rsidR="00616597" w:rsidRDefault="00616597" w:rsidP="00C46003">
      <w:pPr>
        <w:jc w:val="both"/>
        <w:rPr>
          <w:rFonts w:cs="Arial"/>
          <w:b/>
          <w:bCs/>
          <w:sz w:val="22"/>
          <w:szCs w:val="22"/>
          <w:lang w:val="fr-FR"/>
        </w:rPr>
      </w:pPr>
    </w:p>
    <w:p w14:paraId="43735A8C" w14:textId="77777777" w:rsidR="00616597" w:rsidRDefault="00616597" w:rsidP="00C46003">
      <w:pPr>
        <w:jc w:val="both"/>
        <w:rPr>
          <w:rFonts w:cs="Arial"/>
          <w:b/>
          <w:bCs/>
          <w:sz w:val="22"/>
          <w:szCs w:val="22"/>
          <w:lang w:val="fr-FR"/>
        </w:rPr>
      </w:pPr>
    </w:p>
    <w:p w14:paraId="3EA00D36" w14:textId="77777777" w:rsidR="00616597" w:rsidRDefault="00616597" w:rsidP="00C46003">
      <w:pPr>
        <w:jc w:val="both"/>
        <w:rPr>
          <w:rFonts w:cs="Arial"/>
          <w:b/>
          <w:bCs/>
          <w:sz w:val="22"/>
          <w:szCs w:val="22"/>
          <w:lang w:val="fr-FR"/>
        </w:rPr>
      </w:pPr>
    </w:p>
    <w:p w14:paraId="55069717" w14:textId="3B657757" w:rsidR="00C46003" w:rsidRPr="007D1B17" w:rsidRDefault="00E91628" w:rsidP="00C46003">
      <w:pPr>
        <w:jc w:val="both"/>
        <w:rPr>
          <w:rFonts w:cs="Arial"/>
          <w:b/>
          <w:bCs/>
          <w:sz w:val="22"/>
          <w:szCs w:val="22"/>
          <w:lang w:val="fr-FR"/>
        </w:rPr>
      </w:pPr>
      <w:r w:rsidRPr="007D1B17">
        <w:rPr>
          <w:rFonts w:cs="Arial"/>
          <w:b/>
          <w:bCs/>
          <w:sz w:val="22"/>
          <w:szCs w:val="22"/>
          <w:lang w:val="fr-FR"/>
        </w:rPr>
        <w:lastRenderedPageBreak/>
        <w:t>Éclairage LED :</w:t>
      </w:r>
    </w:p>
    <w:p w14:paraId="54E43E9B" w14:textId="534293C7" w:rsidR="00E91628" w:rsidRPr="007D1B17" w:rsidRDefault="00E91628" w:rsidP="00C46003">
      <w:pPr>
        <w:jc w:val="both"/>
        <w:rPr>
          <w:rFonts w:cs="Arial"/>
          <w:sz w:val="22"/>
          <w:szCs w:val="22"/>
          <w:lang w:val="fr-FR"/>
        </w:rPr>
      </w:pPr>
    </w:p>
    <w:p w14:paraId="3C2C2078" w14:textId="60806EF7" w:rsidR="00E91628" w:rsidRPr="00EB4E8D" w:rsidRDefault="00E91628" w:rsidP="00C46003">
      <w:pPr>
        <w:jc w:val="both"/>
        <w:rPr>
          <w:rFonts w:cs="Arial"/>
          <w:sz w:val="22"/>
          <w:szCs w:val="22"/>
          <w:lang w:val="fr-BE"/>
        </w:rPr>
      </w:pPr>
      <w:r w:rsidRPr="00EB4E8D">
        <w:rPr>
          <w:rFonts w:cs="Arial"/>
          <w:sz w:val="22"/>
          <w:szCs w:val="22"/>
          <w:lang w:val="fr-BE"/>
        </w:rPr>
        <w:t xml:space="preserve">L'armoire de vestiaire est munie en haut d'un profilé horizontal en aluminium pour l'éclairage LED (2 positions) qui peut être utilisé comme éclairage d'ambiance ou fonctionnel d'intérieur. Les deux éclairages peuvent être allumés/configurés de façon autonome (interrupteur / smartphone).  Possibilité de connexion à une minuterie séparée.  Bande LED de classe de protection IP 24. Nombre de </w:t>
      </w:r>
      <w:proofErr w:type="spellStart"/>
      <w:r w:rsidRPr="00EB4E8D">
        <w:rPr>
          <w:rFonts w:cs="Arial"/>
          <w:sz w:val="22"/>
          <w:szCs w:val="22"/>
          <w:lang w:val="fr-BE"/>
        </w:rPr>
        <w:t>leds</w:t>
      </w:r>
      <w:proofErr w:type="spellEnd"/>
      <w:r w:rsidRPr="00EB4E8D">
        <w:rPr>
          <w:rFonts w:cs="Arial"/>
          <w:sz w:val="22"/>
          <w:szCs w:val="22"/>
          <w:lang w:val="fr-BE"/>
        </w:rPr>
        <w:t xml:space="preserve"> : blanc = 180 l/m, couleur 120 l/m.</w:t>
      </w:r>
    </w:p>
    <w:p w14:paraId="3A2DEAB9" w14:textId="77777777" w:rsidR="00711AF5" w:rsidRPr="00EB4E8D" w:rsidRDefault="00711AF5" w:rsidP="00C46003">
      <w:pPr>
        <w:jc w:val="both"/>
        <w:rPr>
          <w:rFonts w:cs="Arial"/>
          <w:sz w:val="22"/>
          <w:szCs w:val="22"/>
          <w:lang w:val="fr-BE"/>
        </w:rPr>
      </w:pPr>
    </w:p>
    <w:p w14:paraId="3366AA9E" w14:textId="78A16729" w:rsidR="007B631A" w:rsidRPr="00EB4E8D" w:rsidRDefault="007B631A" w:rsidP="007B631A">
      <w:pPr>
        <w:rPr>
          <w:rFonts w:cs="Arial"/>
          <w:b/>
          <w:bCs/>
          <w:sz w:val="22"/>
          <w:szCs w:val="22"/>
          <w:lang w:val="fr-BE"/>
        </w:rPr>
      </w:pPr>
      <w:r w:rsidRPr="00EB4E8D">
        <w:rPr>
          <w:rFonts w:cs="Arial"/>
          <w:b/>
          <w:bCs/>
          <w:sz w:val="22"/>
          <w:szCs w:val="22"/>
          <w:lang w:val="fr-BE"/>
        </w:rPr>
        <w:t>Compartiment électronique :</w:t>
      </w:r>
    </w:p>
    <w:p w14:paraId="62FF9A49" w14:textId="77777777" w:rsidR="007B631A" w:rsidRPr="00EB4E8D" w:rsidRDefault="007B631A" w:rsidP="007B631A">
      <w:pPr>
        <w:rPr>
          <w:rFonts w:cs="Arial"/>
          <w:b/>
          <w:bCs/>
          <w:sz w:val="22"/>
          <w:szCs w:val="22"/>
          <w:lang w:val="fr-BE"/>
        </w:rPr>
      </w:pPr>
    </w:p>
    <w:p w14:paraId="04AC4EDC" w14:textId="77777777" w:rsidR="007B631A" w:rsidRPr="00EB4E8D" w:rsidRDefault="007B631A" w:rsidP="007B631A">
      <w:pPr>
        <w:rPr>
          <w:rFonts w:cs="Arial"/>
          <w:sz w:val="22"/>
          <w:szCs w:val="22"/>
          <w:lang w:val="fr-BE"/>
        </w:rPr>
      </w:pPr>
      <w:r w:rsidRPr="00EB4E8D">
        <w:rPr>
          <w:rFonts w:cs="Arial"/>
          <w:sz w:val="22"/>
          <w:szCs w:val="22"/>
          <w:lang w:val="fr-BE"/>
        </w:rPr>
        <w:t>En haut de l'armoire, se situe un compartiment verrouillable pour la carte mère électrique approuvée par l'AREI (courant de court-circuit de 10 kA).  Toutes les unités de chargement sont protégées contre la surcharge. En option, un message d'erreur peut être envoyé automatiquement par SMS en cas de dysfonctionnement.   La durée du chargement et de l’éclairage peut être réglés à l’aide d’une minuterie.</w:t>
      </w:r>
    </w:p>
    <w:p w14:paraId="5E207FD2" w14:textId="77777777" w:rsidR="00E91628" w:rsidRPr="007D1B17" w:rsidRDefault="00E91628" w:rsidP="00C46003">
      <w:pPr>
        <w:jc w:val="both"/>
        <w:rPr>
          <w:rFonts w:cs="Arial"/>
          <w:sz w:val="22"/>
          <w:szCs w:val="22"/>
          <w:lang w:val="fr-FR"/>
        </w:rPr>
      </w:pPr>
    </w:p>
    <w:p w14:paraId="4B897FCB" w14:textId="0210204B" w:rsidR="007B631A" w:rsidRPr="007D1B17" w:rsidRDefault="007B631A" w:rsidP="00CC6985">
      <w:pPr>
        <w:jc w:val="both"/>
        <w:rPr>
          <w:rFonts w:cs="Arial"/>
          <w:b/>
          <w:sz w:val="22"/>
          <w:szCs w:val="22"/>
          <w:lang w:val="fr-FR"/>
        </w:rPr>
      </w:pPr>
      <w:r w:rsidRPr="007D1B17">
        <w:rPr>
          <w:rFonts w:cs="Arial"/>
          <w:b/>
          <w:sz w:val="22"/>
          <w:szCs w:val="22"/>
          <w:lang w:val="fr-FR"/>
        </w:rPr>
        <w:t>Équipement standard :</w:t>
      </w:r>
    </w:p>
    <w:p w14:paraId="7C26CDC0" w14:textId="77777777" w:rsidR="007B631A" w:rsidRPr="007D1B17" w:rsidRDefault="007B631A" w:rsidP="00CC6985">
      <w:pPr>
        <w:jc w:val="both"/>
        <w:rPr>
          <w:rFonts w:cs="Arial"/>
          <w:b/>
          <w:sz w:val="22"/>
          <w:szCs w:val="22"/>
          <w:lang w:val="fr-FR"/>
        </w:rPr>
      </w:pPr>
    </w:p>
    <w:p w14:paraId="4DA2E408" w14:textId="77777777" w:rsidR="007B631A" w:rsidRPr="007D1B17" w:rsidRDefault="007B631A" w:rsidP="007B631A">
      <w:pPr>
        <w:rPr>
          <w:rFonts w:cs="Arial"/>
          <w:sz w:val="22"/>
          <w:szCs w:val="22"/>
          <w:lang w:val="fr-FR"/>
        </w:rPr>
      </w:pPr>
      <w:r w:rsidRPr="007D1B17">
        <w:rPr>
          <w:rFonts w:cs="Arial"/>
          <w:sz w:val="22"/>
          <w:szCs w:val="22"/>
          <w:lang w:val="fr-FR"/>
        </w:rPr>
        <w:t>Les armoires sont conçues</w:t>
      </w:r>
      <w:r w:rsidRPr="007D1B17">
        <w:rPr>
          <w:rFonts w:cs="Arial"/>
          <w:color w:val="FF0000"/>
          <w:sz w:val="22"/>
          <w:szCs w:val="22"/>
          <w:lang w:val="fr-FR"/>
        </w:rPr>
        <w:t xml:space="preserve"> </w:t>
      </w:r>
      <w:r w:rsidRPr="007D1B17">
        <w:rPr>
          <w:rFonts w:cs="Arial"/>
          <w:sz w:val="22"/>
          <w:szCs w:val="22"/>
          <w:lang w:val="fr-FR"/>
        </w:rPr>
        <w:t xml:space="preserve">pour obtenir un ensemble très stable en utilisant tous les renforts nécessaires en matériaux inoxydables ou en matériaux demandant très peu d’entretien.  </w:t>
      </w:r>
    </w:p>
    <w:p w14:paraId="7B6D3CC8" w14:textId="7513648C" w:rsidR="00A56637" w:rsidRPr="00EB4E8D" w:rsidRDefault="00A56637" w:rsidP="007B631A">
      <w:pPr>
        <w:rPr>
          <w:rFonts w:cs="Arial"/>
          <w:sz w:val="22"/>
          <w:szCs w:val="22"/>
          <w:lang w:val="fr-BE"/>
        </w:rPr>
      </w:pPr>
      <w:r w:rsidRPr="00EB4E8D">
        <w:rPr>
          <w:rFonts w:cs="Arial"/>
          <w:sz w:val="22"/>
          <w:szCs w:val="22"/>
          <w:lang w:val="fr-BE"/>
        </w:rPr>
        <w:t>Grâce aux portes à recouvrement et les différentes fentes d’aération internes une ventilation naturelle optimale est assurée.  Les casiers individuelles se composent d'un seul ou d'au moins deux compartiments spacieux dont l'un sert à charger les batteries et l'autre à ranger les vêtements de cyclisme, les casques, etc.</w:t>
      </w:r>
    </w:p>
    <w:p w14:paraId="3FEA62B3" w14:textId="2C6582E3" w:rsidR="007B631A" w:rsidRPr="007D1B17" w:rsidRDefault="007B631A" w:rsidP="007B631A">
      <w:pPr>
        <w:rPr>
          <w:rFonts w:cs="Arial"/>
          <w:b/>
          <w:sz w:val="22"/>
          <w:szCs w:val="22"/>
          <w:lang w:val="fr-FR"/>
        </w:rPr>
      </w:pPr>
      <w:r w:rsidRPr="00EB4E8D">
        <w:rPr>
          <w:rFonts w:cs="Arial"/>
          <w:sz w:val="22"/>
          <w:szCs w:val="22"/>
          <w:lang w:val="fr-BE"/>
        </w:rPr>
        <w:t xml:space="preserve">Toutes les portes sont numérotées par gravure et d'un </w:t>
      </w:r>
      <w:proofErr w:type="spellStart"/>
      <w:r w:rsidRPr="00EB4E8D">
        <w:rPr>
          <w:rFonts w:cs="Arial"/>
          <w:sz w:val="22"/>
          <w:szCs w:val="22"/>
          <w:lang w:val="fr-BE"/>
        </w:rPr>
        <w:t>symbol</w:t>
      </w:r>
      <w:proofErr w:type="spellEnd"/>
      <w:r w:rsidRPr="00EB4E8D">
        <w:rPr>
          <w:rFonts w:cs="Arial"/>
          <w:sz w:val="22"/>
          <w:szCs w:val="22"/>
          <w:lang w:val="fr-BE"/>
        </w:rPr>
        <w:t xml:space="preserve"> de recharge également par gravure.</w:t>
      </w:r>
      <w:r w:rsidRPr="00EB4E8D">
        <w:rPr>
          <w:rFonts w:cs="Arial"/>
          <w:sz w:val="22"/>
          <w:szCs w:val="22"/>
          <w:lang w:val="fr-BE"/>
        </w:rPr>
        <w:br/>
        <w:t>Les extrémités des rangées d'armoires sont habillées de panneaux identiques aux portes.</w:t>
      </w:r>
      <w:r w:rsidRPr="00EB4E8D">
        <w:rPr>
          <w:rFonts w:cs="Arial"/>
          <w:sz w:val="22"/>
          <w:szCs w:val="22"/>
          <w:lang w:val="fr-BE"/>
        </w:rPr>
        <w:br/>
      </w:r>
    </w:p>
    <w:p w14:paraId="1B4CC52B" w14:textId="1DD93197" w:rsidR="00CC6985" w:rsidRPr="007D1B17" w:rsidRDefault="00CC6985" w:rsidP="00CC6985">
      <w:pPr>
        <w:jc w:val="both"/>
        <w:rPr>
          <w:rFonts w:cs="Arial"/>
          <w:b/>
          <w:sz w:val="22"/>
          <w:szCs w:val="22"/>
          <w:lang w:val="fr-FR"/>
        </w:rPr>
      </w:pPr>
      <w:r w:rsidRPr="007D1B17">
        <w:rPr>
          <w:rFonts w:cs="Arial"/>
          <w:b/>
          <w:sz w:val="22"/>
          <w:szCs w:val="22"/>
          <w:lang w:val="fr-FR"/>
        </w:rPr>
        <w:t>Montage :</w:t>
      </w:r>
    </w:p>
    <w:p w14:paraId="7C77B1E0" w14:textId="77777777" w:rsidR="00E91628" w:rsidRPr="007D1B17" w:rsidRDefault="00E91628" w:rsidP="00CC6985">
      <w:pPr>
        <w:jc w:val="both"/>
        <w:rPr>
          <w:rFonts w:cs="Arial"/>
          <w:b/>
          <w:sz w:val="22"/>
          <w:szCs w:val="22"/>
          <w:lang w:val="fr-FR"/>
        </w:rPr>
      </w:pPr>
    </w:p>
    <w:p w14:paraId="63EC68BE" w14:textId="5ACF2A1B" w:rsidR="00E9716D" w:rsidRPr="007D1B17" w:rsidRDefault="00E9716D" w:rsidP="00CC6985">
      <w:pPr>
        <w:jc w:val="both"/>
        <w:rPr>
          <w:rFonts w:cs="Arial"/>
          <w:sz w:val="22"/>
          <w:szCs w:val="22"/>
          <w:lang w:val="fr-FR"/>
        </w:rPr>
      </w:pPr>
      <w:r w:rsidRPr="007D1B17">
        <w:rPr>
          <w:rFonts w:cs="Arial"/>
          <w:sz w:val="22"/>
          <w:szCs w:val="22"/>
          <w:lang w:val="fr-FR"/>
        </w:rPr>
        <w:t xml:space="preserve">Les armoires sont </w:t>
      </w:r>
      <w:r w:rsidR="002472C7" w:rsidRPr="007D1B17">
        <w:rPr>
          <w:rFonts w:cs="Arial"/>
          <w:sz w:val="22"/>
          <w:szCs w:val="22"/>
          <w:lang w:val="fr-FR"/>
        </w:rPr>
        <w:t xml:space="preserve">à </w:t>
      </w:r>
      <w:r w:rsidR="008719CF" w:rsidRPr="007D1B17">
        <w:rPr>
          <w:rFonts w:cs="Arial"/>
          <w:sz w:val="22"/>
          <w:szCs w:val="22"/>
          <w:lang w:val="fr-FR"/>
        </w:rPr>
        <w:t>assembler</w:t>
      </w:r>
      <w:r w:rsidRPr="007D1B17">
        <w:rPr>
          <w:rFonts w:cs="Arial"/>
          <w:sz w:val="22"/>
          <w:szCs w:val="22"/>
          <w:lang w:val="fr-FR"/>
        </w:rPr>
        <w:t xml:space="preserve"> sur </w:t>
      </w:r>
      <w:r w:rsidR="007272CC" w:rsidRPr="007D1B17">
        <w:rPr>
          <w:rFonts w:cs="Arial"/>
          <w:sz w:val="22"/>
          <w:szCs w:val="22"/>
          <w:lang w:val="fr-FR"/>
        </w:rPr>
        <w:t>site</w:t>
      </w:r>
      <w:r w:rsidR="00EE050A" w:rsidRPr="007D1B17">
        <w:rPr>
          <w:rFonts w:cs="Arial"/>
          <w:sz w:val="22"/>
          <w:szCs w:val="22"/>
          <w:lang w:val="fr-FR"/>
        </w:rPr>
        <w:t xml:space="preserve">, de façon </w:t>
      </w:r>
      <w:r w:rsidRPr="007D1B17">
        <w:rPr>
          <w:rFonts w:cs="Arial"/>
          <w:sz w:val="22"/>
          <w:szCs w:val="22"/>
          <w:lang w:val="fr-FR"/>
        </w:rPr>
        <w:t xml:space="preserve">continue afin de </w:t>
      </w:r>
      <w:r w:rsidR="00AA7497" w:rsidRPr="007D1B17">
        <w:rPr>
          <w:rFonts w:cs="Arial"/>
          <w:sz w:val="22"/>
          <w:szCs w:val="22"/>
          <w:lang w:val="fr-FR"/>
        </w:rPr>
        <w:t>former</w:t>
      </w:r>
      <w:r w:rsidRPr="007D1B17">
        <w:rPr>
          <w:rFonts w:cs="Arial"/>
          <w:sz w:val="22"/>
          <w:szCs w:val="22"/>
          <w:lang w:val="fr-FR"/>
        </w:rPr>
        <w:t xml:space="preserve"> un en</w:t>
      </w:r>
      <w:r w:rsidR="008719CF" w:rsidRPr="007D1B17">
        <w:rPr>
          <w:rFonts w:cs="Arial"/>
          <w:sz w:val="22"/>
          <w:szCs w:val="22"/>
          <w:lang w:val="fr-FR"/>
        </w:rPr>
        <w:t>semble</w:t>
      </w:r>
      <w:r w:rsidRPr="007D1B17">
        <w:rPr>
          <w:rFonts w:cs="Arial"/>
          <w:sz w:val="22"/>
          <w:szCs w:val="22"/>
          <w:lang w:val="fr-FR"/>
        </w:rPr>
        <w:t xml:space="preserve"> </w:t>
      </w:r>
      <w:r w:rsidR="00AA7497" w:rsidRPr="007D1B17">
        <w:rPr>
          <w:rFonts w:cs="Arial"/>
          <w:sz w:val="22"/>
          <w:szCs w:val="22"/>
          <w:lang w:val="fr-FR"/>
        </w:rPr>
        <w:t>solide</w:t>
      </w:r>
      <w:r w:rsidR="008719CF" w:rsidRPr="007D1B17">
        <w:rPr>
          <w:rFonts w:cs="Arial"/>
          <w:sz w:val="22"/>
          <w:szCs w:val="22"/>
          <w:lang w:val="fr-FR"/>
        </w:rPr>
        <w:t xml:space="preserve"> et stable.</w:t>
      </w:r>
    </w:p>
    <w:p w14:paraId="1B66843C" w14:textId="77777777" w:rsidR="002C188E" w:rsidRPr="007D1B17" w:rsidRDefault="002C188E" w:rsidP="00CC6985">
      <w:pPr>
        <w:jc w:val="both"/>
        <w:rPr>
          <w:rFonts w:cs="Arial"/>
          <w:sz w:val="22"/>
          <w:szCs w:val="22"/>
          <w:lang w:val="fr-FR"/>
        </w:rPr>
      </w:pPr>
    </w:p>
    <w:p w14:paraId="12E4803A" w14:textId="682645DB" w:rsidR="006F478D" w:rsidRPr="007D1B17" w:rsidRDefault="006F478D" w:rsidP="006F478D">
      <w:pPr>
        <w:rPr>
          <w:rFonts w:cs="Arial"/>
          <w:b/>
          <w:bCs/>
          <w:sz w:val="22"/>
          <w:szCs w:val="22"/>
          <w:u w:val="single"/>
        </w:rPr>
      </w:pPr>
      <w:proofErr w:type="spellStart"/>
      <w:r w:rsidRPr="007D1B17">
        <w:rPr>
          <w:rFonts w:cs="Arial"/>
          <w:b/>
          <w:bCs/>
          <w:sz w:val="22"/>
          <w:szCs w:val="22"/>
          <w:u w:val="single"/>
        </w:rPr>
        <w:t>Serrures</w:t>
      </w:r>
      <w:proofErr w:type="spellEnd"/>
      <w:r w:rsidRPr="007D1B17">
        <w:rPr>
          <w:rFonts w:cs="Arial"/>
          <w:b/>
          <w:bCs/>
          <w:sz w:val="22"/>
          <w:szCs w:val="22"/>
          <w:u w:val="single"/>
        </w:rPr>
        <w:t xml:space="preserve"> :</w:t>
      </w:r>
    </w:p>
    <w:p w14:paraId="1F52DB32" w14:textId="77777777" w:rsidR="006F478D" w:rsidRPr="007D1B17" w:rsidRDefault="006F478D" w:rsidP="006F478D">
      <w:pPr>
        <w:rPr>
          <w:rFonts w:cs="Arial"/>
          <w:sz w:val="22"/>
          <w:szCs w:val="22"/>
          <w:u w:val="single"/>
        </w:rPr>
      </w:pPr>
    </w:p>
    <w:p w14:paraId="3B753726" w14:textId="77777777" w:rsidR="006F478D" w:rsidRPr="007D1B17" w:rsidRDefault="006F478D" w:rsidP="006F478D">
      <w:pPr>
        <w:pStyle w:val="Lijstalinea"/>
        <w:numPr>
          <w:ilvl w:val="0"/>
          <w:numId w:val="11"/>
        </w:numPr>
        <w:rPr>
          <w:rFonts w:cs="Arial"/>
          <w:sz w:val="22"/>
          <w:szCs w:val="22"/>
        </w:rPr>
      </w:pPr>
      <w:proofErr w:type="spellStart"/>
      <w:r w:rsidRPr="007D1B17">
        <w:rPr>
          <w:rFonts w:cs="Arial"/>
          <w:sz w:val="22"/>
          <w:szCs w:val="22"/>
        </w:rPr>
        <w:t>Cylindre</w:t>
      </w:r>
      <w:proofErr w:type="spellEnd"/>
    </w:p>
    <w:p w14:paraId="007C33C3" w14:textId="77777777" w:rsidR="006F478D" w:rsidRPr="00EB4E8D" w:rsidRDefault="006F478D" w:rsidP="006F478D">
      <w:pPr>
        <w:pStyle w:val="Lijstalinea"/>
        <w:numPr>
          <w:ilvl w:val="0"/>
          <w:numId w:val="11"/>
        </w:numPr>
        <w:rPr>
          <w:rFonts w:cs="Arial"/>
          <w:sz w:val="22"/>
          <w:szCs w:val="22"/>
          <w:lang w:val="fr-BE"/>
        </w:rPr>
      </w:pPr>
      <w:r w:rsidRPr="00EB4E8D">
        <w:rPr>
          <w:rFonts w:cs="Arial"/>
          <w:sz w:val="22"/>
          <w:szCs w:val="22"/>
          <w:lang w:val="fr-BE"/>
        </w:rPr>
        <w:t>Serrure à code mécanique ou électronique</w:t>
      </w:r>
    </w:p>
    <w:p w14:paraId="6317EFEF" w14:textId="6FA0A238" w:rsidR="006F478D" w:rsidRPr="00EB4E8D" w:rsidRDefault="006F478D" w:rsidP="006F478D">
      <w:pPr>
        <w:pStyle w:val="Lijstalinea"/>
        <w:numPr>
          <w:ilvl w:val="0"/>
          <w:numId w:val="11"/>
        </w:numPr>
        <w:rPr>
          <w:rFonts w:cs="Arial"/>
          <w:sz w:val="22"/>
          <w:szCs w:val="22"/>
          <w:lang w:val="fr-BE"/>
        </w:rPr>
      </w:pPr>
      <w:r w:rsidRPr="00EB4E8D">
        <w:rPr>
          <w:rFonts w:cs="Arial"/>
          <w:sz w:val="22"/>
          <w:szCs w:val="22"/>
          <w:lang w:val="fr-BE"/>
        </w:rPr>
        <w:t>Serrure électronique encastrée avec fonction d'alarme acoustique et visuelle</w:t>
      </w:r>
    </w:p>
    <w:p w14:paraId="6836ACCE" w14:textId="14905A24" w:rsidR="006F478D" w:rsidRPr="007D1B17" w:rsidRDefault="006F478D" w:rsidP="00CC6985">
      <w:pPr>
        <w:jc w:val="both"/>
        <w:rPr>
          <w:rFonts w:cs="Arial"/>
          <w:sz w:val="22"/>
          <w:szCs w:val="22"/>
          <w:lang w:val="fr-FR"/>
        </w:rPr>
      </w:pPr>
    </w:p>
    <w:p w14:paraId="322B21F3" w14:textId="37DA653B" w:rsidR="00CC6985" w:rsidRPr="007D1B17" w:rsidRDefault="00CC6985" w:rsidP="00CC6985">
      <w:pPr>
        <w:jc w:val="both"/>
        <w:rPr>
          <w:rFonts w:cs="Arial"/>
          <w:b/>
          <w:sz w:val="22"/>
          <w:szCs w:val="22"/>
          <w:lang w:val="fr-FR"/>
        </w:rPr>
      </w:pPr>
      <w:r w:rsidRPr="007D1B17">
        <w:rPr>
          <w:rFonts w:cs="Arial"/>
          <w:b/>
          <w:sz w:val="22"/>
          <w:szCs w:val="22"/>
          <w:lang w:val="fr-FR"/>
        </w:rPr>
        <w:t xml:space="preserve">Teintes : </w:t>
      </w:r>
    </w:p>
    <w:p w14:paraId="506A5469" w14:textId="77777777" w:rsidR="006F478D" w:rsidRPr="007D1B17" w:rsidRDefault="006F478D" w:rsidP="00CC6985">
      <w:pPr>
        <w:jc w:val="both"/>
        <w:rPr>
          <w:rFonts w:cs="Arial"/>
          <w:b/>
          <w:sz w:val="22"/>
          <w:szCs w:val="22"/>
          <w:lang w:val="fr-FR"/>
        </w:rPr>
      </w:pPr>
    </w:p>
    <w:p w14:paraId="04F8AA47" w14:textId="77777777" w:rsidR="006F478D" w:rsidRPr="00EB4E8D" w:rsidRDefault="006F478D" w:rsidP="006F478D">
      <w:pPr>
        <w:rPr>
          <w:rFonts w:cs="Arial"/>
          <w:sz w:val="22"/>
          <w:szCs w:val="22"/>
          <w:lang w:val="fr-BE"/>
        </w:rPr>
      </w:pPr>
      <w:r w:rsidRPr="00EB4E8D">
        <w:rPr>
          <w:rFonts w:cs="Arial"/>
          <w:sz w:val="22"/>
          <w:szCs w:val="22"/>
          <w:lang w:val="fr-BE"/>
        </w:rPr>
        <w:t>Corps de l’armoire : blanc</w:t>
      </w:r>
      <w:r w:rsidRPr="00EB4E8D">
        <w:rPr>
          <w:rFonts w:cs="Arial"/>
          <w:sz w:val="22"/>
          <w:szCs w:val="22"/>
          <w:lang w:val="fr-BE"/>
        </w:rPr>
        <w:br/>
        <w:t xml:space="preserve">Portes et panneaux latéraux : suivant nuancier </w:t>
      </w:r>
      <w:proofErr w:type="spellStart"/>
      <w:r w:rsidRPr="00EB4E8D">
        <w:rPr>
          <w:rFonts w:cs="Arial"/>
          <w:sz w:val="22"/>
          <w:szCs w:val="22"/>
          <w:lang w:val="fr-BE"/>
        </w:rPr>
        <w:t>Afkor</w:t>
      </w:r>
      <w:proofErr w:type="spellEnd"/>
      <w:r w:rsidRPr="00EB4E8D">
        <w:rPr>
          <w:rFonts w:cs="Arial"/>
          <w:sz w:val="22"/>
          <w:szCs w:val="22"/>
          <w:lang w:val="fr-BE"/>
        </w:rPr>
        <w:br/>
        <w:t>Profil supérieur LED et montants de porte en alu : aluminium anodisé, blanc mat, noir mat</w:t>
      </w:r>
    </w:p>
    <w:p w14:paraId="57454539" w14:textId="77777777" w:rsidR="00A56637" w:rsidRPr="00EB4E8D" w:rsidRDefault="00A56637" w:rsidP="00A56637">
      <w:pPr>
        <w:rPr>
          <w:rFonts w:cs="Arial"/>
          <w:b/>
          <w:bCs/>
          <w:sz w:val="22"/>
          <w:szCs w:val="22"/>
          <w:lang w:val="fr-BE"/>
        </w:rPr>
      </w:pPr>
    </w:p>
    <w:p w14:paraId="4E9710C5" w14:textId="5E0681A3" w:rsidR="00A56637" w:rsidRPr="00EB4E8D" w:rsidRDefault="00A56637" w:rsidP="00A56637">
      <w:pPr>
        <w:rPr>
          <w:rFonts w:cs="Arial"/>
          <w:b/>
          <w:bCs/>
          <w:sz w:val="22"/>
          <w:szCs w:val="22"/>
          <w:lang w:val="fr-BE"/>
        </w:rPr>
      </w:pPr>
      <w:r w:rsidRPr="00EB4E8D">
        <w:rPr>
          <w:rFonts w:cs="Arial"/>
          <w:b/>
          <w:bCs/>
          <w:sz w:val="22"/>
          <w:szCs w:val="22"/>
          <w:lang w:val="fr-BE"/>
        </w:rPr>
        <w:t>Attest</w:t>
      </w:r>
      <w:r w:rsidR="00616597" w:rsidRPr="00EB4E8D">
        <w:rPr>
          <w:rFonts w:cs="Arial"/>
          <w:b/>
          <w:bCs/>
          <w:sz w:val="22"/>
          <w:szCs w:val="22"/>
          <w:lang w:val="fr-BE"/>
        </w:rPr>
        <w:t>ation</w:t>
      </w:r>
      <w:r w:rsidRPr="00EB4E8D">
        <w:rPr>
          <w:rFonts w:cs="Arial"/>
          <w:b/>
          <w:bCs/>
          <w:sz w:val="22"/>
          <w:szCs w:val="22"/>
          <w:lang w:val="fr-BE"/>
        </w:rPr>
        <w:t xml:space="preserve"> </w:t>
      </w:r>
      <w:proofErr w:type="spellStart"/>
      <w:r w:rsidRPr="00EB4E8D">
        <w:rPr>
          <w:rFonts w:cs="Arial"/>
          <w:b/>
          <w:bCs/>
          <w:sz w:val="22"/>
          <w:szCs w:val="22"/>
          <w:lang w:val="fr-BE"/>
        </w:rPr>
        <w:t>Afkor</w:t>
      </w:r>
      <w:proofErr w:type="spellEnd"/>
      <w:r w:rsidRPr="00EB4E8D">
        <w:rPr>
          <w:rFonts w:cs="Arial"/>
          <w:b/>
          <w:bCs/>
          <w:sz w:val="22"/>
          <w:szCs w:val="22"/>
          <w:lang w:val="fr-BE"/>
        </w:rPr>
        <w:t xml:space="preserve"> : </w:t>
      </w:r>
      <w:r w:rsidRPr="00EB4E8D">
        <w:rPr>
          <w:rFonts w:cs="Arial"/>
          <w:sz w:val="22"/>
          <w:szCs w:val="22"/>
          <w:lang w:val="fr-BE"/>
        </w:rPr>
        <w:t>HPL qualité F - EUROCLASSES Bs2d0 attestation électronique</w:t>
      </w:r>
      <w:r w:rsidRPr="00EB4E8D">
        <w:rPr>
          <w:rFonts w:cs="Arial"/>
          <w:b/>
          <w:bCs/>
          <w:sz w:val="22"/>
          <w:szCs w:val="22"/>
          <w:lang w:val="fr-BE"/>
        </w:rPr>
        <w:t xml:space="preserve"> </w:t>
      </w:r>
    </w:p>
    <w:p w14:paraId="2EBDBEF0" w14:textId="77777777" w:rsidR="00F1243A" w:rsidRPr="00EB4E8D" w:rsidRDefault="00F1243A" w:rsidP="0073452A">
      <w:pPr>
        <w:rPr>
          <w:rFonts w:cs="Arial"/>
          <w:b/>
          <w:sz w:val="22"/>
          <w:szCs w:val="22"/>
          <w:u w:val="single"/>
          <w:lang w:val="fr-BE"/>
        </w:rPr>
      </w:pPr>
    </w:p>
    <w:sectPr w:rsidR="00F1243A" w:rsidRPr="00EB4E8D" w:rsidSect="00865349">
      <w:headerReference w:type="default" r:id="rId7"/>
      <w:footerReference w:type="default" r:id="rId8"/>
      <w:pgSz w:w="11906" w:h="16838"/>
      <w:pgMar w:top="1417" w:right="1417" w:bottom="899" w:left="1417" w:header="708" w:footer="7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E0C70" w14:textId="77777777" w:rsidR="00A14840" w:rsidRDefault="00A14840">
      <w:r>
        <w:separator/>
      </w:r>
    </w:p>
  </w:endnote>
  <w:endnote w:type="continuationSeparator" w:id="0">
    <w:p w14:paraId="13EA697B" w14:textId="77777777" w:rsidR="00A14840" w:rsidRDefault="00A14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G Rounded Thin">
    <w:altName w:val="Cambri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581E" w14:textId="77777777" w:rsidR="002C4F30" w:rsidRPr="00AB5DF9" w:rsidRDefault="002C4F30">
    <w:pPr>
      <w:jc w:val="center"/>
      <w:rPr>
        <w:rFonts w:ascii="VAG Rounded Thin" w:hAnsi="VAG Rounded Thin"/>
        <w:color w:val="663300"/>
        <w:sz w:val="20"/>
        <w:szCs w:val="20"/>
      </w:rPr>
    </w:pPr>
    <w:proofErr w:type="spellStart"/>
    <w:r w:rsidRPr="00AB5DF9">
      <w:rPr>
        <w:rFonts w:ascii="VAG Rounded Thin" w:hAnsi="VAG Rounded Thin"/>
        <w:color w:val="663300"/>
        <w:sz w:val="20"/>
        <w:szCs w:val="20"/>
      </w:rPr>
      <w:t>Torkonjestraat</w:t>
    </w:r>
    <w:proofErr w:type="spellEnd"/>
    <w:r w:rsidRPr="00AB5DF9">
      <w:rPr>
        <w:rFonts w:ascii="VAG Rounded Thin" w:hAnsi="VAG Rounded Thin"/>
        <w:color w:val="663300"/>
        <w:sz w:val="20"/>
        <w:szCs w:val="20"/>
      </w:rPr>
      <w:t xml:space="preserve"> 21</w:t>
    </w:r>
    <w:r>
      <w:rPr>
        <w:rFonts w:ascii="VAG Rounded Thin" w:hAnsi="VAG Rounded Thin"/>
        <w:color w:val="663300"/>
        <w:sz w:val="20"/>
        <w:szCs w:val="20"/>
      </w:rPr>
      <w:t>e</w:t>
    </w:r>
    <w:r w:rsidRPr="00AB5DF9">
      <w:rPr>
        <w:rFonts w:ascii="VAG Rounded Thin" w:hAnsi="VAG Rounded Thin"/>
        <w:color w:val="663300"/>
        <w:sz w:val="20"/>
        <w:szCs w:val="20"/>
      </w:rPr>
      <w:t xml:space="preserve"> - </w:t>
    </w:r>
    <w:r>
      <w:rPr>
        <w:rFonts w:ascii="VAG Rounded Thin" w:hAnsi="VAG Rounded Thin"/>
        <w:color w:val="663300"/>
        <w:sz w:val="20"/>
        <w:szCs w:val="20"/>
      </w:rPr>
      <w:t>B-</w:t>
    </w:r>
    <w:r w:rsidRPr="00AB5DF9">
      <w:rPr>
        <w:rFonts w:ascii="VAG Rounded Thin" w:hAnsi="VAG Rounded Thin"/>
        <w:color w:val="663300"/>
        <w:sz w:val="20"/>
        <w:szCs w:val="20"/>
      </w:rPr>
      <w:t>8510 Marke  Tel. 0032(0)56 25 86 56  Fax 0032(0)56 21 30 94</w:t>
    </w:r>
    <w:r>
      <w:rPr>
        <w:rFonts w:ascii="VAG Rounded Thin" w:hAnsi="VAG Rounded Thin"/>
        <w:color w:val="663300"/>
        <w:sz w:val="20"/>
        <w:szCs w:val="20"/>
      </w:rPr>
      <w:t xml:space="preserve">    </w:t>
    </w:r>
    <w:r w:rsidRPr="00AB5DF9">
      <w:rPr>
        <w:rFonts w:ascii="VAG Rounded Thin" w:hAnsi="VAG Rounded Thin"/>
        <w:color w:val="663300"/>
        <w:sz w:val="20"/>
        <w:szCs w:val="20"/>
      </w:rPr>
      <w:t>www.afkor.be</w:t>
    </w:r>
  </w:p>
  <w:p w14:paraId="5A7B4F76" w14:textId="77777777" w:rsidR="002C4F30" w:rsidRDefault="002C4F30">
    <w:pPr>
      <w:jc w:val="center"/>
      <w:rPr>
        <w:rFonts w:ascii="VAG Rounded Thin" w:hAnsi="VAG Rounded Thin"/>
        <w:color w:val="663300"/>
        <w:sz w:val="16"/>
      </w:rPr>
    </w:pPr>
    <w:r>
      <w:rPr>
        <w:rFonts w:ascii="VAG Rounded Thin" w:hAnsi="VAG Rounded Thin"/>
        <w:color w:val="663300"/>
        <w:sz w:val="16"/>
      </w:rPr>
      <w:t>B.T.W./T.V.A.BE0405.728.630 - Erkenningsnr./</w:t>
    </w:r>
    <w:proofErr w:type="spellStart"/>
    <w:r>
      <w:rPr>
        <w:rFonts w:ascii="VAG Rounded Thin" w:hAnsi="VAG Rounded Thin"/>
        <w:color w:val="663300"/>
        <w:sz w:val="16"/>
      </w:rPr>
      <w:t>N°Enregistrement</w:t>
    </w:r>
    <w:proofErr w:type="spellEnd"/>
    <w:r>
      <w:rPr>
        <w:rFonts w:ascii="VAG Rounded Thin" w:hAnsi="VAG Rounded Thin"/>
        <w:color w:val="663300"/>
        <w:sz w:val="16"/>
      </w:rPr>
      <w:t xml:space="preserve">  BE0405.728.630/05.20.1.1 -  RPR Kortrijk</w:t>
    </w:r>
  </w:p>
  <w:p w14:paraId="47A45688" w14:textId="77777777" w:rsidR="002C4F30" w:rsidRPr="00EB4E8D" w:rsidRDefault="002C4F30">
    <w:pPr>
      <w:jc w:val="center"/>
      <w:rPr>
        <w:rFonts w:ascii="VAG Rounded Thin" w:hAnsi="VAG Rounded Thin"/>
        <w:color w:val="663300"/>
        <w:sz w:val="22"/>
        <w:lang w:val="en-GB"/>
      </w:rPr>
    </w:pPr>
    <w:r w:rsidRPr="00EB4E8D">
      <w:rPr>
        <w:rFonts w:ascii="VAG Rounded Thin" w:hAnsi="VAG Rounded Thin"/>
        <w:color w:val="663300"/>
        <w:sz w:val="16"/>
        <w:lang w:val="en-GB"/>
      </w:rPr>
      <w:t xml:space="preserve">Belfius IBAN BE25 0688 9486 9382  BIC GKCCBEBB – KBC IBAN BE55 4665 5672 51 44 BIC KREDBEBB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1AD1B" w14:textId="77777777" w:rsidR="00A14840" w:rsidRDefault="00A14840">
      <w:r>
        <w:separator/>
      </w:r>
    </w:p>
  </w:footnote>
  <w:footnote w:type="continuationSeparator" w:id="0">
    <w:p w14:paraId="3B4B705D" w14:textId="77777777" w:rsidR="00A14840" w:rsidRDefault="00A14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6EBF" w14:textId="31FA2B5D" w:rsidR="002C4F30" w:rsidRDefault="002C4F30" w:rsidP="00182ABD">
    <w:pPr>
      <w:pStyle w:val="Koptekst"/>
      <w:tabs>
        <w:tab w:val="clear" w:pos="4536"/>
        <w:tab w:val="left" w:pos="3686"/>
        <w:tab w:val="center" w:pos="6521"/>
      </w:tabs>
      <w:rPr>
        <w:rFonts w:ascii="VAG Rounded Thin" w:hAnsi="VAG Rounded Thin"/>
        <w:color w:val="663300"/>
        <w:sz w:val="22"/>
        <w:lang w:val="fr-FR"/>
      </w:rPr>
    </w:pPr>
    <w:r>
      <w:rPr>
        <w:rFonts w:ascii="VAG Rounded Thin" w:hAnsi="VAG Rounded Thin"/>
        <w:noProof/>
        <w:color w:val="663300"/>
        <w:sz w:val="22"/>
        <w:lang w:val="en-US"/>
      </w:rPr>
      <w:drawing>
        <wp:anchor distT="0" distB="0" distL="114300" distR="114300" simplePos="0" relativeHeight="251657728" behindDoc="0" locked="0" layoutInCell="1" allowOverlap="1" wp14:anchorId="59EEF6B9" wp14:editId="3F7C0E91">
          <wp:simplePos x="0" y="0"/>
          <wp:positionH relativeFrom="column">
            <wp:posOffset>-13970</wp:posOffset>
          </wp:positionH>
          <wp:positionV relativeFrom="paragraph">
            <wp:posOffset>45720</wp:posOffset>
          </wp:positionV>
          <wp:extent cx="2019300" cy="647700"/>
          <wp:effectExtent l="19050" t="0" r="0" b="0"/>
          <wp:wrapSquare wrapText="bothSides"/>
          <wp:docPr id="3"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Afkor_quadri KLEIN"/>
                  <pic:cNvPicPr>
                    <a:picLocks noChangeAspect="1" noChangeArrowheads="1"/>
                  </pic:cNvPicPr>
                </pic:nvPicPr>
                <pic:blipFill>
                  <a:blip r:embed="rId1"/>
                  <a:srcRect/>
                  <a:stretch>
                    <a:fillRect/>
                  </a:stretch>
                </pic:blipFill>
                <pic:spPr bwMode="auto">
                  <a:xfrm>
                    <a:off x="0" y="0"/>
                    <a:ext cx="2019300" cy="647700"/>
                  </a:xfrm>
                  <a:prstGeom prst="rect">
                    <a:avLst/>
                  </a:prstGeom>
                  <a:noFill/>
                  <a:ln w="9525">
                    <a:noFill/>
                    <a:miter lim="800000"/>
                    <a:headEnd/>
                    <a:tailEnd/>
                  </a:ln>
                </pic:spPr>
              </pic:pic>
            </a:graphicData>
          </a:graphic>
        </wp:anchor>
      </w:drawing>
    </w:r>
    <w:r>
      <w:rPr>
        <w:rFonts w:ascii="VAG Rounded Thin" w:hAnsi="VAG Rounded Thin"/>
        <w:color w:val="663300"/>
        <w:sz w:val="22"/>
        <w:lang w:val="fr-FR"/>
      </w:rPr>
      <w:t xml:space="preserve">Sanitaire </w:t>
    </w:r>
    <w:proofErr w:type="spellStart"/>
    <w:r>
      <w:rPr>
        <w:rFonts w:ascii="VAG Rounded Thin" w:hAnsi="VAG Rounded Thin"/>
        <w:color w:val="663300"/>
        <w:sz w:val="22"/>
        <w:lang w:val="fr-FR"/>
      </w:rPr>
      <w:t>wanden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t>Cloisons sanitaires</w:t>
    </w:r>
    <w:r>
      <w:rPr>
        <w:rFonts w:ascii="VAG Rounded Thin" w:hAnsi="VAG Rounded Thin"/>
        <w:color w:val="663300"/>
        <w:sz w:val="22"/>
        <w:lang w:val="fr-FR"/>
      </w:rPr>
      <w:tab/>
      <w:t xml:space="preserve"> </w:t>
    </w:r>
  </w:p>
  <w:p w14:paraId="13E6DF07" w14:textId="6381156A" w:rsidR="00182ABD" w:rsidRDefault="002C4F30" w:rsidP="00182ABD">
    <w:pPr>
      <w:pStyle w:val="Koptekst"/>
      <w:tabs>
        <w:tab w:val="left" w:pos="4536"/>
        <w:tab w:val="center" w:pos="6096"/>
      </w:tabs>
      <w:rPr>
        <w:rFonts w:ascii="VAG Rounded Thin" w:hAnsi="VAG Rounded Thin"/>
        <w:color w:val="663300"/>
        <w:sz w:val="22"/>
        <w:lang w:val="fr-FR"/>
      </w:rPr>
    </w:pPr>
    <w:proofErr w:type="spellStart"/>
    <w:r>
      <w:rPr>
        <w:rFonts w:ascii="VAG Rounded Thin" w:hAnsi="VAG Rounded Thin"/>
        <w:color w:val="663300"/>
        <w:sz w:val="22"/>
        <w:lang w:val="fr-FR"/>
      </w:rPr>
      <w:t>Zitbanken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sidR="00182ABD">
      <w:rPr>
        <w:rFonts w:ascii="VAG Rounded Thin" w:hAnsi="VAG Rounded Thin"/>
        <w:color w:val="663300"/>
        <w:sz w:val="22"/>
        <w:lang w:val="fr-FR"/>
      </w:rPr>
      <w:t xml:space="preserve">                       </w:t>
    </w:r>
    <w:r>
      <w:rPr>
        <w:rFonts w:ascii="VAG Rounded Thin" w:hAnsi="VAG Rounded Thin"/>
        <w:color w:val="663300"/>
        <w:sz w:val="22"/>
        <w:lang w:val="fr-FR"/>
      </w:rPr>
      <w:t>Bancs</w:t>
    </w:r>
  </w:p>
  <w:p w14:paraId="3998F415" w14:textId="03BC8D89" w:rsidR="00182ABD" w:rsidRDefault="002C4F30" w:rsidP="00182ABD">
    <w:pPr>
      <w:pStyle w:val="Koptekst"/>
      <w:tabs>
        <w:tab w:val="left" w:pos="4536"/>
        <w:tab w:val="center" w:pos="6096"/>
      </w:tabs>
      <w:rPr>
        <w:rFonts w:ascii="VAG Rounded Thin" w:hAnsi="VAG Rounded Thin"/>
        <w:color w:val="663300"/>
        <w:sz w:val="22"/>
        <w:lang w:val="fr-FR"/>
      </w:rPr>
    </w:pPr>
    <w:proofErr w:type="spellStart"/>
    <w:r>
      <w:rPr>
        <w:rFonts w:ascii="VAG Rounded Thin" w:hAnsi="VAG Rounded Thin"/>
        <w:color w:val="663300"/>
        <w:sz w:val="22"/>
        <w:lang w:val="fr-FR"/>
      </w:rPr>
      <w:t>Vestiairekasten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sidR="00182ABD">
      <w:rPr>
        <w:rFonts w:ascii="VAG Rounded Thin" w:hAnsi="VAG Rounded Thin"/>
        <w:color w:val="663300"/>
        <w:sz w:val="22"/>
        <w:lang w:val="fr-FR"/>
      </w:rPr>
      <w:t xml:space="preserve">                 </w:t>
    </w:r>
    <w:r>
      <w:rPr>
        <w:rFonts w:ascii="VAG Rounded Thin" w:hAnsi="VAG Rounded Thin"/>
        <w:color w:val="663300"/>
        <w:sz w:val="22"/>
        <w:lang w:val="fr-FR"/>
      </w:rPr>
      <w:t>Armoires vestiaires</w:t>
    </w:r>
  </w:p>
  <w:p w14:paraId="6860BF1E" w14:textId="27A04601" w:rsidR="002C4F30" w:rsidRDefault="002C4F30" w:rsidP="00182ABD">
    <w:pPr>
      <w:pStyle w:val="Koptekst"/>
      <w:tabs>
        <w:tab w:val="left" w:pos="4536"/>
        <w:tab w:val="center" w:pos="6096"/>
      </w:tabs>
      <w:rPr>
        <w:rFonts w:ascii="VAG Rounded Thin" w:hAnsi="VAG Rounded Thin"/>
        <w:color w:val="663300"/>
        <w:sz w:val="22"/>
        <w:lang w:val="fr-FR"/>
      </w:rPr>
    </w:pPr>
    <w:proofErr w:type="spellStart"/>
    <w:r>
      <w:rPr>
        <w:rFonts w:ascii="VAG Rounded Thin" w:hAnsi="VAG Rounded Thin"/>
        <w:color w:val="663300"/>
        <w:sz w:val="22"/>
        <w:lang w:val="fr-FR"/>
      </w:rPr>
      <w:t>Lavabotabletten</w:t>
    </w:r>
    <w:proofErr w:type="spellEnd"/>
    <w:r>
      <w:rPr>
        <w:rFonts w:ascii="VAG Rounded Thin" w:hAnsi="VAG Rounded Thin"/>
        <w:color w:val="663300"/>
        <w:sz w:val="22"/>
        <w:lang w:val="fr-FR"/>
      </w:rPr>
      <w:t xml:space="preserve"> </w:t>
    </w:r>
    <w:r>
      <w:rPr>
        <w:rFonts w:ascii="VAG Rounded Thin" w:hAnsi="VAG Rounded Thin"/>
        <w:color w:val="663300"/>
        <w:sz w:val="22"/>
        <w:lang w:val="fr-FR"/>
      </w:rPr>
      <w:tab/>
    </w:r>
    <w:r w:rsidR="00182ABD">
      <w:rPr>
        <w:rFonts w:ascii="VAG Rounded Thin" w:hAnsi="VAG Rounded Thin"/>
        <w:color w:val="663300"/>
        <w:sz w:val="22"/>
        <w:lang w:val="fr-FR"/>
      </w:rPr>
      <w:t xml:space="preserve">               </w:t>
    </w:r>
    <w:r>
      <w:rPr>
        <w:rFonts w:ascii="VAG Rounded Thin" w:hAnsi="VAG Rounded Thin"/>
        <w:color w:val="663300"/>
        <w:sz w:val="22"/>
        <w:lang w:val="fr-FR"/>
      </w:rPr>
      <w:t>Tablettes de lavabo</w:t>
    </w:r>
    <w:r>
      <w:rPr>
        <w:rFonts w:ascii="VAG Rounded Thin" w:hAnsi="VAG Rounded Thin"/>
        <w:color w:val="663300"/>
        <w:sz w:val="22"/>
        <w:lang w:val="fr-FR"/>
      </w:rPr>
      <w:tab/>
    </w:r>
    <w:r>
      <w:rPr>
        <w:rFonts w:ascii="VAG Rounded Thin" w:hAnsi="VAG Rounded Thin"/>
        <w:color w:val="663300"/>
        <w:sz w:val="22"/>
        <w:lang w:val="fr-FR"/>
      </w:rPr>
      <w:tab/>
    </w:r>
    <w:r>
      <w:rPr>
        <w:rFonts w:ascii="VAG Rounded Thin" w:hAnsi="VAG Rounded Thin"/>
        <w:color w:val="663300"/>
        <w:sz w:val="22"/>
        <w:lang w:val="fr-FR"/>
      </w:rPr>
      <w:tab/>
    </w:r>
  </w:p>
  <w:p w14:paraId="6290DCEE" w14:textId="77777777" w:rsidR="002C4F30" w:rsidRDefault="002C4F30"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p>
  <w:p w14:paraId="6A787A0A" w14:textId="77777777" w:rsidR="002C4F30" w:rsidRDefault="002C4F30" w:rsidP="003901F6">
    <w:pPr>
      <w:pStyle w:val="Koptekst"/>
      <w:tabs>
        <w:tab w:val="clear" w:pos="4536"/>
        <w:tab w:val="clear" w:pos="9072"/>
        <w:tab w:val="left" w:pos="4111"/>
        <w:tab w:val="center" w:pos="6237"/>
      </w:tabs>
      <w:ind w:left="3686"/>
      <w:jc w:val="right"/>
      <w:rPr>
        <w:rFonts w:ascii="VAG Rounded Thin" w:hAnsi="VAG Rounded Thin"/>
        <w:color w:val="663300"/>
        <w:sz w:val="22"/>
        <w:lang w:val="fr-FR"/>
      </w:rPr>
    </w:pPr>
    <w:r>
      <w:rPr>
        <w:rFonts w:ascii="VAG Rounded Thin" w:hAnsi="VAG Rounded Thin"/>
        <w:color w:val="663300"/>
        <w:sz w:val="22"/>
        <w:lang w:val="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C43"/>
    <w:multiLevelType w:val="hybridMultilevel"/>
    <w:tmpl w:val="01B2550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2A64898"/>
    <w:multiLevelType w:val="hybridMultilevel"/>
    <w:tmpl w:val="ABE4E3C8"/>
    <w:lvl w:ilvl="0" w:tplc="A1420492">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92F0711"/>
    <w:multiLevelType w:val="hybridMultilevel"/>
    <w:tmpl w:val="51CC5AA0"/>
    <w:lvl w:ilvl="0" w:tplc="F35E0E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D7367"/>
    <w:multiLevelType w:val="hybridMultilevel"/>
    <w:tmpl w:val="A998DE8A"/>
    <w:lvl w:ilvl="0" w:tplc="4E905808">
      <w:start w:val="1250"/>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D8E2D92"/>
    <w:multiLevelType w:val="hybridMultilevel"/>
    <w:tmpl w:val="E54AC9D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5A80E00"/>
    <w:multiLevelType w:val="hybridMultilevel"/>
    <w:tmpl w:val="94CCD250"/>
    <w:lvl w:ilvl="0" w:tplc="A1420492">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173659A"/>
    <w:multiLevelType w:val="hybridMultilevel"/>
    <w:tmpl w:val="1C5667A4"/>
    <w:lvl w:ilvl="0" w:tplc="9E6E93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CA4E2C"/>
    <w:multiLevelType w:val="hybridMultilevel"/>
    <w:tmpl w:val="66567DC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7A9B6FA8"/>
    <w:multiLevelType w:val="hybridMultilevel"/>
    <w:tmpl w:val="BC3CCCB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C4124A8"/>
    <w:multiLevelType w:val="hybridMultilevel"/>
    <w:tmpl w:val="0FC2F608"/>
    <w:lvl w:ilvl="0" w:tplc="CD26DCB8">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D3F2AAE"/>
    <w:multiLevelType w:val="multilevel"/>
    <w:tmpl w:val="1854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6619828">
    <w:abstractNumId w:val="2"/>
  </w:num>
  <w:num w:numId="2" w16cid:durableId="595216999">
    <w:abstractNumId w:val="6"/>
  </w:num>
  <w:num w:numId="3" w16cid:durableId="129254506">
    <w:abstractNumId w:val="3"/>
  </w:num>
  <w:num w:numId="4" w16cid:durableId="1239368588">
    <w:abstractNumId w:val="10"/>
  </w:num>
  <w:num w:numId="5" w16cid:durableId="1532692896">
    <w:abstractNumId w:val="1"/>
  </w:num>
  <w:num w:numId="6" w16cid:durableId="1092120525">
    <w:abstractNumId w:val="5"/>
  </w:num>
  <w:num w:numId="7" w16cid:durableId="1635793158">
    <w:abstractNumId w:val="7"/>
  </w:num>
  <w:num w:numId="8" w16cid:durableId="1028989817">
    <w:abstractNumId w:val="8"/>
  </w:num>
  <w:num w:numId="9" w16cid:durableId="926311038">
    <w:abstractNumId w:val="0"/>
  </w:num>
  <w:num w:numId="10" w16cid:durableId="656156787">
    <w:abstractNumId w:val="4"/>
  </w:num>
  <w:num w:numId="11" w16cid:durableId="848832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CB0"/>
    <w:rsid w:val="00014A3D"/>
    <w:rsid w:val="00015BAD"/>
    <w:rsid w:val="00020205"/>
    <w:rsid w:val="00020B2D"/>
    <w:rsid w:val="00031C45"/>
    <w:rsid w:val="00033FC4"/>
    <w:rsid w:val="00040448"/>
    <w:rsid w:val="000656AF"/>
    <w:rsid w:val="00066205"/>
    <w:rsid w:val="00067DB8"/>
    <w:rsid w:val="0007007A"/>
    <w:rsid w:val="00074B5B"/>
    <w:rsid w:val="000777DC"/>
    <w:rsid w:val="00081588"/>
    <w:rsid w:val="00084818"/>
    <w:rsid w:val="0009019E"/>
    <w:rsid w:val="00090E32"/>
    <w:rsid w:val="00091A1A"/>
    <w:rsid w:val="0009434B"/>
    <w:rsid w:val="000970BE"/>
    <w:rsid w:val="000A4B7D"/>
    <w:rsid w:val="000B2ECB"/>
    <w:rsid w:val="000B4115"/>
    <w:rsid w:val="000B6BE4"/>
    <w:rsid w:val="000D4B09"/>
    <w:rsid w:val="000D5C62"/>
    <w:rsid w:val="000E3B79"/>
    <w:rsid w:val="000F0082"/>
    <w:rsid w:val="00104689"/>
    <w:rsid w:val="001115AF"/>
    <w:rsid w:val="0012016C"/>
    <w:rsid w:val="00132F80"/>
    <w:rsid w:val="00136DDB"/>
    <w:rsid w:val="001552E6"/>
    <w:rsid w:val="0015691C"/>
    <w:rsid w:val="00160BE3"/>
    <w:rsid w:val="00166972"/>
    <w:rsid w:val="0017461C"/>
    <w:rsid w:val="001762E7"/>
    <w:rsid w:val="00181032"/>
    <w:rsid w:val="00182ABD"/>
    <w:rsid w:val="001838D7"/>
    <w:rsid w:val="001874CC"/>
    <w:rsid w:val="00190F9C"/>
    <w:rsid w:val="001A78E8"/>
    <w:rsid w:val="001A7F96"/>
    <w:rsid w:val="001B02E6"/>
    <w:rsid w:val="001C1826"/>
    <w:rsid w:val="001C64A9"/>
    <w:rsid w:val="001D3821"/>
    <w:rsid w:val="001D5CDE"/>
    <w:rsid w:val="001E43C5"/>
    <w:rsid w:val="001E50F3"/>
    <w:rsid w:val="001F3D17"/>
    <w:rsid w:val="001F4028"/>
    <w:rsid w:val="00200560"/>
    <w:rsid w:val="00202CB8"/>
    <w:rsid w:val="00203FB6"/>
    <w:rsid w:val="002131E4"/>
    <w:rsid w:val="00213771"/>
    <w:rsid w:val="00222A36"/>
    <w:rsid w:val="002464DC"/>
    <w:rsid w:val="002472C7"/>
    <w:rsid w:val="0025035A"/>
    <w:rsid w:val="00256C2B"/>
    <w:rsid w:val="00273C47"/>
    <w:rsid w:val="002769C0"/>
    <w:rsid w:val="00276E1E"/>
    <w:rsid w:val="0028055A"/>
    <w:rsid w:val="00282A02"/>
    <w:rsid w:val="00282B26"/>
    <w:rsid w:val="00295CB9"/>
    <w:rsid w:val="002B03E5"/>
    <w:rsid w:val="002C188E"/>
    <w:rsid w:val="002C4F30"/>
    <w:rsid w:val="002D1C30"/>
    <w:rsid w:val="002D3FB6"/>
    <w:rsid w:val="002D540C"/>
    <w:rsid w:val="002D785D"/>
    <w:rsid w:val="002E01CD"/>
    <w:rsid w:val="002E1D2D"/>
    <w:rsid w:val="002E4F33"/>
    <w:rsid w:val="002F0F9F"/>
    <w:rsid w:val="002F459B"/>
    <w:rsid w:val="002F6D78"/>
    <w:rsid w:val="00303AAC"/>
    <w:rsid w:val="003049B1"/>
    <w:rsid w:val="003119A2"/>
    <w:rsid w:val="00317B71"/>
    <w:rsid w:val="00322ABC"/>
    <w:rsid w:val="00324165"/>
    <w:rsid w:val="003322D0"/>
    <w:rsid w:val="00334BEF"/>
    <w:rsid w:val="00337ED4"/>
    <w:rsid w:val="00342C0C"/>
    <w:rsid w:val="003474DA"/>
    <w:rsid w:val="00347F67"/>
    <w:rsid w:val="003554DB"/>
    <w:rsid w:val="00356C81"/>
    <w:rsid w:val="00357307"/>
    <w:rsid w:val="003719F5"/>
    <w:rsid w:val="003749A5"/>
    <w:rsid w:val="0038632C"/>
    <w:rsid w:val="003901F6"/>
    <w:rsid w:val="00391154"/>
    <w:rsid w:val="003A0DB4"/>
    <w:rsid w:val="003A55EE"/>
    <w:rsid w:val="003B0930"/>
    <w:rsid w:val="003C12D4"/>
    <w:rsid w:val="003C7F8C"/>
    <w:rsid w:val="003D7828"/>
    <w:rsid w:val="003E6930"/>
    <w:rsid w:val="003F2193"/>
    <w:rsid w:val="003F4884"/>
    <w:rsid w:val="00400458"/>
    <w:rsid w:val="0040542C"/>
    <w:rsid w:val="004164B5"/>
    <w:rsid w:val="00416532"/>
    <w:rsid w:val="00426DFE"/>
    <w:rsid w:val="00436640"/>
    <w:rsid w:val="0044718D"/>
    <w:rsid w:val="00472E38"/>
    <w:rsid w:val="00474376"/>
    <w:rsid w:val="004750E4"/>
    <w:rsid w:val="00476026"/>
    <w:rsid w:val="004860F4"/>
    <w:rsid w:val="004860FA"/>
    <w:rsid w:val="00487277"/>
    <w:rsid w:val="00494C8D"/>
    <w:rsid w:val="004A2126"/>
    <w:rsid w:val="004A31F3"/>
    <w:rsid w:val="004B08AF"/>
    <w:rsid w:val="004B2B0D"/>
    <w:rsid w:val="004B64D5"/>
    <w:rsid w:val="004B7266"/>
    <w:rsid w:val="004C7634"/>
    <w:rsid w:val="004D083C"/>
    <w:rsid w:val="004D2A17"/>
    <w:rsid w:val="004E2B30"/>
    <w:rsid w:val="004E4CA9"/>
    <w:rsid w:val="004E6309"/>
    <w:rsid w:val="004F485E"/>
    <w:rsid w:val="00513B47"/>
    <w:rsid w:val="0052053A"/>
    <w:rsid w:val="00523AC8"/>
    <w:rsid w:val="00526969"/>
    <w:rsid w:val="00531DE9"/>
    <w:rsid w:val="00531F16"/>
    <w:rsid w:val="00542203"/>
    <w:rsid w:val="00543397"/>
    <w:rsid w:val="00543C01"/>
    <w:rsid w:val="0055089B"/>
    <w:rsid w:val="005818CF"/>
    <w:rsid w:val="0059599F"/>
    <w:rsid w:val="005965C7"/>
    <w:rsid w:val="00597C4E"/>
    <w:rsid w:val="005A0C89"/>
    <w:rsid w:val="005A201F"/>
    <w:rsid w:val="005A4ABB"/>
    <w:rsid w:val="005A4D04"/>
    <w:rsid w:val="005A6483"/>
    <w:rsid w:val="005B27C0"/>
    <w:rsid w:val="005C5AF9"/>
    <w:rsid w:val="005C6D1E"/>
    <w:rsid w:val="005D20E2"/>
    <w:rsid w:val="005E1A44"/>
    <w:rsid w:val="005E3CDE"/>
    <w:rsid w:val="005F06E4"/>
    <w:rsid w:val="005F4EA8"/>
    <w:rsid w:val="0060171C"/>
    <w:rsid w:val="00604E3E"/>
    <w:rsid w:val="00611963"/>
    <w:rsid w:val="00612543"/>
    <w:rsid w:val="00616597"/>
    <w:rsid w:val="006200F5"/>
    <w:rsid w:val="00624657"/>
    <w:rsid w:val="00626178"/>
    <w:rsid w:val="00634335"/>
    <w:rsid w:val="00634EB7"/>
    <w:rsid w:val="00636A75"/>
    <w:rsid w:val="00641609"/>
    <w:rsid w:val="006451C4"/>
    <w:rsid w:val="00657642"/>
    <w:rsid w:val="006605BB"/>
    <w:rsid w:val="00676F8A"/>
    <w:rsid w:val="006838C9"/>
    <w:rsid w:val="006853E8"/>
    <w:rsid w:val="00685E39"/>
    <w:rsid w:val="00686789"/>
    <w:rsid w:val="00693A28"/>
    <w:rsid w:val="0069743A"/>
    <w:rsid w:val="006A2184"/>
    <w:rsid w:val="006A3828"/>
    <w:rsid w:val="006B1D70"/>
    <w:rsid w:val="006B21CF"/>
    <w:rsid w:val="006C5427"/>
    <w:rsid w:val="006C63D7"/>
    <w:rsid w:val="006D4528"/>
    <w:rsid w:val="006D73A5"/>
    <w:rsid w:val="006E39EC"/>
    <w:rsid w:val="006F2DAE"/>
    <w:rsid w:val="006F3B63"/>
    <w:rsid w:val="006F478D"/>
    <w:rsid w:val="007010F0"/>
    <w:rsid w:val="007040C9"/>
    <w:rsid w:val="0070524F"/>
    <w:rsid w:val="00707392"/>
    <w:rsid w:val="00707447"/>
    <w:rsid w:val="00710D67"/>
    <w:rsid w:val="00711AF5"/>
    <w:rsid w:val="00712D09"/>
    <w:rsid w:val="007179A2"/>
    <w:rsid w:val="00720103"/>
    <w:rsid w:val="0072156E"/>
    <w:rsid w:val="0072618B"/>
    <w:rsid w:val="007272CC"/>
    <w:rsid w:val="0073064E"/>
    <w:rsid w:val="0073452A"/>
    <w:rsid w:val="007364D6"/>
    <w:rsid w:val="00742E7A"/>
    <w:rsid w:val="0074398C"/>
    <w:rsid w:val="0075035C"/>
    <w:rsid w:val="007507BE"/>
    <w:rsid w:val="00752C7A"/>
    <w:rsid w:val="00774BB1"/>
    <w:rsid w:val="007779B4"/>
    <w:rsid w:val="00783DB2"/>
    <w:rsid w:val="00791F24"/>
    <w:rsid w:val="007A0C28"/>
    <w:rsid w:val="007A44FE"/>
    <w:rsid w:val="007B54E2"/>
    <w:rsid w:val="007B631A"/>
    <w:rsid w:val="007C1920"/>
    <w:rsid w:val="007C5038"/>
    <w:rsid w:val="007D1B17"/>
    <w:rsid w:val="007E1354"/>
    <w:rsid w:val="007E357F"/>
    <w:rsid w:val="007E5212"/>
    <w:rsid w:val="0080199A"/>
    <w:rsid w:val="0080639B"/>
    <w:rsid w:val="00811136"/>
    <w:rsid w:val="00817CCC"/>
    <w:rsid w:val="00827BE8"/>
    <w:rsid w:val="00836E75"/>
    <w:rsid w:val="00843619"/>
    <w:rsid w:val="00843FCA"/>
    <w:rsid w:val="00854067"/>
    <w:rsid w:val="00854876"/>
    <w:rsid w:val="00865349"/>
    <w:rsid w:val="00866C1D"/>
    <w:rsid w:val="008719CF"/>
    <w:rsid w:val="0087269A"/>
    <w:rsid w:val="00881782"/>
    <w:rsid w:val="00882CAB"/>
    <w:rsid w:val="00894391"/>
    <w:rsid w:val="00895491"/>
    <w:rsid w:val="008A41BE"/>
    <w:rsid w:val="008B23A3"/>
    <w:rsid w:val="008B4CC0"/>
    <w:rsid w:val="008C0FA2"/>
    <w:rsid w:val="008C1391"/>
    <w:rsid w:val="008C28E4"/>
    <w:rsid w:val="008D2F81"/>
    <w:rsid w:val="008E16B1"/>
    <w:rsid w:val="008E5619"/>
    <w:rsid w:val="008F0D1A"/>
    <w:rsid w:val="00900AD2"/>
    <w:rsid w:val="0090201E"/>
    <w:rsid w:val="0090330D"/>
    <w:rsid w:val="00903438"/>
    <w:rsid w:val="00906028"/>
    <w:rsid w:val="00912A83"/>
    <w:rsid w:val="0091439C"/>
    <w:rsid w:val="0091699C"/>
    <w:rsid w:val="009171D3"/>
    <w:rsid w:val="00927F4C"/>
    <w:rsid w:val="00951203"/>
    <w:rsid w:val="00954F93"/>
    <w:rsid w:val="00962C2D"/>
    <w:rsid w:val="00980A80"/>
    <w:rsid w:val="009837D7"/>
    <w:rsid w:val="0099517D"/>
    <w:rsid w:val="00996267"/>
    <w:rsid w:val="009A3AA4"/>
    <w:rsid w:val="009B5F16"/>
    <w:rsid w:val="009C6050"/>
    <w:rsid w:val="009E51D4"/>
    <w:rsid w:val="009E53E6"/>
    <w:rsid w:val="009F786E"/>
    <w:rsid w:val="00A05DC1"/>
    <w:rsid w:val="00A14840"/>
    <w:rsid w:val="00A17B26"/>
    <w:rsid w:val="00A22AC9"/>
    <w:rsid w:val="00A325D3"/>
    <w:rsid w:val="00A35EF7"/>
    <w:rsid w:val="00A40279"/>
    <w:rsid w:val="00A42011"/>
    <w:rsid w:val="00A45302"/>
    <w:rsid w:val="00A4676C"/>
    <w:rsid w:val="00A5523D"/>
    <w:rsid w:val="00A56637"/>
    <w:rsid w:val="00A70DC5"/>
    <w:rsid w:val="00A70F48"/>
    <w:rsid w:val="00A779FC"/>
    <w:rsid w:val="00A81897"/>
    <w:rsid w:val="00A9681C"/>
    <w:rsid w:val="00AA4949"/>
    <w:rsid w:val="00AA7104"/>
    <w:rsid w:val="00AA7497"/>
    <w:rsid w:val="00AB5DF9"/>
    <w:rsid w:val="00AB6FC2"/>
    <w:rsid w:val="00AC077D"/>
    <w:rsid w:val="00AE7606"/>
    <w:rsid w:val="00AF1C3F"/>
    <w:rsid w:val="00B04027"/>
    <w:rsid w:val="00B06575"/>
    <w:rsid w:val="00B06BAA"/>
    <w:rsid w:val="00B126EF"/>
    <w:rsid w:val="00B133D6"/>
    <w:rsid w:val="00B1783A"/>
    <w:rsid w:val="00B22CB0"/>
    <w:rsid w:val="00B24D7F"/>
    <w:rsid w:val="00B31F30"/>
    <w:rsid w:val="00B325D0"/>
    <w:rsid w:val="00B372ED"/>
    <w:rsid w:val="00B40003"/>
    <w:rsid w:val="00B4643F"/>
    <w:rsid w:val="00B561D5"/>
    <w:rsid w:val="00B60EFB"/>
    <w:rsid w:val="00B65772"/>
    <w:rsid w:val="00B71BE1"/>
    <w:rsid w:val="00B73A08"/>
    <w:rsid w:val="00B776CF"/>
    <w:rsid w:val="00B92890"/>
    <w:rsid w:val="00B94960"/>
    <w:rsid w:val="00BA029A"/>
    <w:rsid w:val="00BA269A"/>
    <w:rsid w:val="00BA557A"/>
    <w:rsid w:val="00BB7DC4"/>
    <w:rsid w:val="00BC120A"/>
    <w:rsid w:val="00BC6987"/>
    <w:rsid w:val="00BC70E7"/>
    <w:rsid w:val="00BC7981"/>
    <w:rsid w:val="00BD235B"/>
    <w:rsid w:val="00BD2E6D"/>
    <w:rsid w:val="00BE758A"/>
    <w:rsid w:val="00C040FD"/>
    <w:rsid w:val="00C052D4"/>
    <w:rsid w:val="00C07F60"/>
    <w:rsid w:val="00C10C3D"/>
    <w:rsid w:val="00C15183"/>
    <w:rsid w:val="00C33CDF"/>
    <w:rsid w:val="00C37494"/>
    <w:rsid w:val="00C46003"/>
    <w:rsid w:val="00C54ECD"/>
    <w:rsid w:val="00C65971"/>
    <w:rsid w:val="00C67692"/>
    <w:rsid w:val="00C74BAC"/>
    <w:rsid w:val="00C769A9"/>
    <w:rsid w:val="00C907EA"/>
    <w:rsid w:val="00C97266"/>
    <w:rsid w:val="00C974FF"/>
    <w:rsid w:val="00CA2D82"/>
    <w:rsid w:val="00CA55D2"/>
    <w:rsid w:val="00CA62FC"/>
    <w:rsid w:val="00CB2AE6"/>
    <w:rsid w:val="00CC0977"/>
    <w:rsid w:val="00CC13E2"/>
    <w:rsid w:val="00CC56B4"/>
    <w:rsid w:val="00CC6985"/>
    <w:rsid w:val="00CD49C0"/>
    <w:rsid w:val="00CD5268"/>
    <w:rsid w:val="00CD7FBD"/>
    <w:rsid w:val="00CE3259"/>
    <w:rsid w:val="00CE7B40"/>
    <w:rsid w:val="00CF6639"/>
    <w:rsid w:val="00CF768E"/>
    <w:rsid w:val="00D0246A"/>
    <w:rsid w:val="00D049BB"/>
    <w:rsid w:val="00D20D18"/>
    <w:rsid w:val="00D35D74"/>
    <w:rsid w:val="00D373AE"/>
    <w:rsid w:val="00D41880"/>
    <w:rsid w:val="00D53312"/>
    <w:rsid w:val="00D53F81"/>
    <w:rsid w:val="00D62156"/>
    <w:rsid w:val="00D83CF2"/>
    <w:rsid w:val="00D842CF"/>
    <w:rsid w:val="00DA0E4D"/>
    <w:rsid w:val="00DB1E4E"/>
    <w:rsid w:val="00DC0BC7"/>
    <w:rsid w:val="00DC10C8"/>
    <w:rsid w:val="00DC4E54"/>
    <w:rsid w:val="00DD4A06"/>
    <w:rsid w:val="00DD5484"/>
    <w:rsid w:val="00DD6686"/>
    <w:rsid w:val="00DD788F"/>
    <w:rsid w:val="00DF2A20"/>
    <w:rsid w:val="00E14B87"/>
    <w:rsid w:val="00E265A2"/>
    <w:rsid w:val="00E34F0B"/>
    <w:rsid w:val="00E46A13"/>
    <w:rsid w:val="00E5134F"/>
    <w:rsid w:val="00E514E7"/>
    <w:rsid w:val="00E7044E"/>
    <w:rsid w:val="00E75B54"/>
    <w:rsid w:val="00E91628"/>
    <w:rsid w:val="00E9716D"/>
    <w:rsid w:val="00E97FD3"/>
    <w:rsid w:val="00EA3E79"/>
    <w:rsid w:val="00EA75B9"/>
    <w:rsid w:val="00EB4E8D"/>
    <w:rsid w:val="00EB5739"/>
    <w:rsid w:val="00EE050A"/>
    <w:rsid w:val="00EE4184"/>
    <w:rsid w:val="00EE4854"/>
    <w:rsid w:val="00F1243A"/>
    <w:rsid w:val="00F151B5"/>
    <w:rsid w:val="00F2018B"/>
    <w:rsid w:val="00F215F0"/>
    <w:rsid w:val="00F229D3"/>
    <w:rsid w:val="00F247DB"/>
    <w:rsid w:val="00F250CF"/>
    <w:rsid w:val="00F348C1"/>
    <w:rsid w:val="00F36958"/>
    <w:rsid w:val="00F40741"/>
    <w:rsid w:val="00F4113B"/>
    <w:rsid w:val="00F41BF1"/>
    <w:rsid w:val="00F43037"/>
    <w:rsid w:val="00F63368"/>
    <w:rsid w:val="00F70434"/>
    <w:rsid w:val="00F70D60"/>
    <w:rsid w:val="00F71BE4"/>
    <w:rsid w:val="00F74AD3"/>
    <w:rsid w:val="00F829F1"/>
    <w:rsid w:val="00F85B03"/>
    <w:rsid w:val="00FB24D4"/>
    <w:rsid w:val="00FD1B2E"/>
    <w:rsid w:val="00FD57AB"/>
    <w:rsid w:val="00FD5F22"/>
    <w:rsid w:val="00FD7027"/>
    <w:rsid w:val="00FD7B37"/>
    <w:rsid w:val="00FE1D9C"/>
    <w:rsid w:val="00FE43DE"/>
    <w:rsid w:val="00FE7E2D"/>
    <w:rsid w:val="00FF1CE3"/>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7B6DA437"/>
  <w15:docId w15:val="{58E614E1-3A7E-4B5A-A342-A17C1802C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5349"/>
    <w:rPr>
      <w:rFonts w:ascii="Arial" w:hAnsi="Arial"/>
      <w:sz w:val="24"/>
      <w:szCs w:val="24"/>
      <w:lang w:val="nl-NL" w:eastAsia="nl-NL"/>
    </w:rPr>
  </w:style>
  <w:style w:type="paragraph" w:styleId="Kop2">
    <w:name w:val="heading 2"/>
    <w:basedOn w:val="Standaard"/>
    <w:next w:val="Standaard"/>
    <w:qFormat/>
    <w:rsid w:val="00657642"/>
    <w:pPr>
      <w:keepNext/>
      <w:overflowPunct w:val="0"/>
      <w:autoSpaceDE w:val="0"/>
      <w:autoSpaceDN w:val="0"/>
      <w:adjustRightInd w:val="0"/>
      <w:outlineLvl w:val="1"/>
    </w:pPr>
    <w:rPr>
      <w:b/>
      <w:sz w:val="22"/>
      <w:szCs w:val="20"/>
      <w:lang w:val="nl-BE"/>
    </w:rPr>
  </w:style>
  <w:style w:type="paragraph" w:styleId="Kop3">
    <w:name w:val="heading 3"/>
    <w:basedOn w:val="Standaard"/>
    <w:next w:val="Standaard"/>
    <w:link w:val="Kop3Char"/>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65349"/>
    <w:pPr>
      <w:tabs>
        <w:tab w:val="center" w:pos="4536"/>
        <w:tab w:val="right" w:pos="9072"/>
      </w:tabs>
    </w:pPr>
  </w:style>
  <w:style w:type="paragraph" w:styleId="Voettekst">
    <w:name w:val="footer"/>
    <w:basedOn w:val="Standaard"/>
    <w:rsid w:val="00865349"/>
    <w:pPr>
      <w:tabs>
        <w:tab w:val="center" w:pos="4536"/>
        <w:tab w:val="right" w:pos="9072"/>
      </w:tabs>
    </w:pPr>
  </w:style>
  <w:style w:type="paragraph" w:styleId="Ballontekst">
    <w:name w:val="Balloon Text"/>
    <w:basedOn w:val="Standaard"/>
    <w:link w:val="BallontekstChar"/>
    <w:rsid w:val="00E7044E"/>
    <w:rPr>
      <w:rFonts w:ascii="Tahoma" w:hAnsi="Tahoma" w:cs="Tahoma"/>
      <w:sz w:val="16"/>
      <w:szCs w:val="16"/>
    </w:rPr>
  </w:style>
  <w:style w:type="character" w:customStyle="1" w:styleId="BallontekstChar">
    <w:name w:val="Ballontekst Char"/>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Char">
    <w:name w:val="Kop 3 Char"/>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Standaard"/>
    <w:link w:val="PlattetekstChar"/>
    <w:rsid w:val="003719F5"/>
    <w:pPr>
      <w:overflowPunct w:val="0"/>
      <w:autoSpaceDE w:val="0"/>
      <w:autoSpaceDN w:val="0"/>
      <w:adjustRightInd w:val="0"/>
      <w:textAlignment w:val="baseline"/>
    </w:pPr>
    <w:rPr>
      <w:sz w:val="22"/>
      <w:szCs w:val="20"/>
      <w:lang w:val="fr-FR"/>
    </w:rPr>
  </w:style>
  <w:style w:type="character" w:customStyle="1" w:styleId="PlattetekstChar">
    <w:name w:val="Platte tekst Char"/>
    <w:basedOn w:val="Standaardalinea-lettertype"/>
    <w:link w:val="Plattetekst"/>
    <w:rsid w:val="003719F5"/>
    <w:rPr>
      <w:rFonts w:ascii="Arial" w:hAnsi="Arial"/>
      <w:sz w:val="22"/>
      <w:lang w:val="fr-FR" w:eastAsia="nl-NL"/>
    </w:rPr>
  </w:style>
  <w:style w:type="paragraph" w:styleId="Lijstalinea">
    <w:name w:val="List Paragraph"/>
    <w:basedOn w:val="Standaard"/>
    <w:uiPriority w:val="34"/>
    <w:qFormat/>
    <w:rsid w:val="006F2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844280">
      <w:bodyDiv w:val="1"/>
      <w:marLeft w:val="0"/>
      <w:marRight w:val="0"/>
      <w:marTop w:val="0"/>
      <w:marBottom w:val="0"/>
      <w:divBdr>
        <w:top w:val="none" w:sz="0" w:space="0" w:color="auto"/>
        <w:left w:val="none" w:sz="0" w:space="0" w:color="auto"/>
        <w:bottom w:val="none" w:sz="0" w:space="0" w:color="auto"/>
        <w:right w:val="none" w:sz="0" w:space="0" w:color="auto"/>
      </w:divBdr>
    </w:div>
    <w:div w:id="699208424">
      <w:bodyDiv w:val="1"/>
      <w:marLeft w:val="0"/>
      <w:marRight w:val="0"/>
      <w:marTop w:val="0"/>
      <w:marBottom w:val="0"/>
      <w:divBdr>
        <w:top w:val="none" w:sz="0" w:space="0" w:color="auto"/>
        <w:left w:val="none" w:sz="0" w:space="0" w:color="auto"/>
        <w:bottom w:val="none" w:sz="0" w:space="0" w:color="auto"/>
        <w:right w:val="none" w:sz="0" w:space="0" w:color="auto"/>
      </w:divBdr>
    </w:div>
    <w:div w:id="901990090">
      <w:bodyDiv w:val="1"/>
      <w:marLeft w:val="0"/>
      <w:marRight w:val="0"/>
      <w:marTop w:val="0"/>
      <w:marBottom w:val="0"/>
      <w:divBdr>
        <w:top w:val="none" w:sz="0" w:space="0" w:color="auto"/>
        <w:left w:val="none" w:sz="0" w:space="0" w:color="auto"/>
        <w:bottom w:val="none" w:sz="0" w:space="0" w:color="auto"/>
        <w:right w:val="none" w:sz="0" w:space="0" w:color="auto"/>
      </w:divBdr>
    </w:div>
    <w:div w:id="1386443941">
      <w:bodyDiv w:val="1"/>
      <w:marLeft w:val="0"/>
      <w:marRight w:val="0"/>
      <w:marTop w:val="0"/>
      <w:marBottom w:val="0"/>
      <w:divBdr>
        <w:top w:val="none" w:sz="0" w:space="0" w:color="auto"/>
        <w:left w:val="none" w:sz="0" w:space="0" w:color="auto"/>
        <w:bottom w:val="none" w:sz="0" w:space="0" w:color="auto"/>
        <w:right w:val="none" w:sz="0" w:space="0" w:color="auto"/>
      </w:divBdr>
    </w:div>
    <w:div w:id="1420759742">
      <w:bodyDiv w:val="1"/>
      <w:marLeft w:val="0"/>
      <w:marRight w:val="0"/>
      <w:marTop w:val="0"/>
      <w:marBottom w:val="0"/>
      <w:divBdr>
        <w:top w:val="none" w:sz="0" w:space="0" w:color="auto"/>
        <w:left w:val="none" w:sz="0" w:space="0" w:color="auto"/>
        <w:bottom w:val="none" w:sz="0" w:space="0" w:color="auto"/>
        <w:right w:val="none" w:sz="0" w:space="0" w:color="auto"/>
      </w:divBdr>
    </w:div>
    <w:div w:id="1933970717">
      <w:bodyDiv w:val="1"/>
      <w:marLeft w:val="0"/>
      <w:marRight w:val="0"/>
      <w:marTop w:val="0"/>
      <w:marBottom w:val="0"/>
      <w:divBdr>
        <w:top w:val="none" w:sz="0" w:space="0" w:color="auto"/>
        <w:left w:val="none" w:sz="0" w:space="0" w:color="auto"/>
        <w:bottom w:val="none" w:sz="0" w:space="0" w:color="auto"/>
        <w:right w:val="none" w:sz="0" w:space="0" w:color="auto"/>
      </w:divBdr>
    </w:div>
    <w:div w:id="21326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umont\Mijn%20documenten\BRIEFHOOFD%20Nieuw.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BRIEFHOOFD Nieuw</Template>
  <TotalTime>36</TotalTime>
  <Pages>3</Pages>
  <Words>953</Words>
  <Characters>4810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Lettertype:  VAG Rounded Thin</vt:lpstr>
    </vt:vector>
  </TitlesOfParts>
  <Company>afkor</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cp:keywords/>
  <dc:description/>
  <cp:lastModifiedBy>Frederic Willems</cp:lastModifiedBy>
  <cp:revision>10</cp:revision>
  <cp:lastPrinted>2017-05-31T09:05:00Z</cp:lastPrinted>
  <dcterms:created xsi:type="dcterms:W3CDTF">2021-05-18T07:40:00Z</dcterms:created>
  <dcterms:modified xsi:type="dcterms:W3CDTF">2022-05-11T12:51:00Z</dcterms:modified>
</cp:coreProperties>
</file>